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eastAsiaTheme="minorEastAsia"/>
          <w:bCs/>
          <w:color w:val="auto"/>
          <w:sz w:val="30"/>
          <w:highlight w:val="none"/>
        </w:rPr>
      </w:pPr>
      <w:r>
        <w:rPr>
          <w:rFonts w:ascii="Arial" w:hAnsi="Arial" w:eastAsiaTheme="minorEastAsia"/>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JSZC-320200-PXGJ-G2026-0035</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无锡市儿童医院儿童遗传病基因检测项目（第二次）</w:t>
      </w:r>
      <w:r/>
    </w:p>
    <w:p>
      <w:pPr>
        <w:ind w:firstLine="1500"/>
        <w:spacing w:line="360" w:lineRule="auto"/>
        <w:rPr>
          <w:rFonts w:hint="eastAsia" w:ascii="宋体" w:hAnsi="宋体" w:eastAsia="宋体" w:cs="宋体"/>
          <w:bCs/>
          <w:color w:val="auto"/>
          <w:sz w:val="30"/>
          <w:szCs w:val="30"/>
          <w:highlight w:val="none"/>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rPr>
        <w:t xml:space="preserve">无锡市儿童医院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五</w:t>
      </w:r>
      <w:r>
        <w:rPr>
          <w:rFonts w:hint="eastAsia" w:ascii="宋体" w:hAnsi="宋体" w:eastAsia="宋体" w:cs="宋体"/>
          <w:bCs/>
          <w:color w:val="auto"/>
          <w:sz w:val="44"/>
          <w:szCs w:val="44"/>
          <w:highlight w:val="none"/>
        </w:rPr>
        <w:t xml:space="preserve">月</w:t>
      </w:r>
      <w:r/>
    </w:p>
    <w:p>
      <w:pPr>
        <w:pStyle w:val="1151"/>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1151"/>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rPr>
        <w:t xml:space="preserve">无锡市儿童医院</w:t>
      </w:r>
      <w:r>
        <w:rPr>
          <w:rFonts w:hint="eastAsia" w:ascii="Arial" w:hAnsi="Arial"/>
          <w:bCs/>
          <w:color w:val="auto"/>
          <w:sz w:val="24"/>
          <w:szCs w:val="24"/>
          <w:highlight w:val="none"/>
        </w:rPr>
        <w:t xml:space="preserve">的委托，对</w:t>
      </w:r>
      <w:r>
        <w:rPr>
          <w:rFonts w:hint="eastAsia" w:ascii="宋体" w:hAnsi="宋体" w:eastAsia="宋体" w:cs="宋体"/>
          <w:bCs/>
          <w:color w:val="auto"/>
          <w:sz w:val="24"/>
          <w:szCs w:val="24"/>
          <w:highlight w:val="none"/>
          <w:u w:val="single"/>
          <w:lang w:eastAsia="zh-CN"/>
        </w:rPr>
        <w:t xml:space="preserve">无锡市儿童医院儿童遗传病基因检测项目（第二次）</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无锡市儿童医院儿童遗传病基因检测项目（第二次）</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rPr>
        <w:t xml:space="preserve">14</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0</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无锡市儿童医院儿童遗传病基因检测项目（第二次）</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JSZC-320200-PXGJ-G2026-0035</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asciiTheme="minorEastAsia" w:hAnsiTheme="minorEastAsia" w:eastAsiaTheme="minorEastAsia" w:cstheme="minorEastAsia"/>
          <w:color w:val="auto"/>
          <w:sz w:val="24"/>
          <w:szCs w:val="24"/>
          <w:highlight w:val="none"/>
        </w:rPr>
        <w:t xml:space="preserve">250万元</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最高限价：全外显子组测序单人2000元/次、家系4000元/次，全基因组测序单人4200元/次、家系8000元/次，一代测序200元/位点，MLPA/MS-MPLA800元/次，CNV-seq1000元/次，动态突变200元/位点，特殊遗传病检测项目1600/次。投标供应商所报单价不得超过最高限价，否则按无效投标文件处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eastAsia="zh-CN"/>
        </w:rPr>
        <w:t xml:space="preserve">无锡市儿童医院儿童遗传病基因检测项目（第二次）</w:t>
      </w:r>
      <w:r>
        <w:rPr>
          <w:rFonts w:hint="eastAsia" w:ascii="宋体" w:hAnsi="宋体"/>
          <w:color w:val="auto"/>
          <w:sz w:val="24"/>
          <w:highlight w:val="none"/>
        </w:rPr>
        <w:t xml:space="preserve">。</w:t>
      </w:r>
      <w:r>
        <w:rPr>
          <w:rFonts w:hint="eastAsia" w:ascii="宋体" w:hAnsi="宋体" w:eastAsia="宋体" w:cs="宋体"/>
          <w:color w:val="auto"/>
          <w:sz w:val="24"/>
          <w:szCs w:val="24"/>
          <w:highlight w:val="none"/>
        </w:rPr>
        <w:t xml:space="preserve">具体详见招</w:t>
      </w:r>
      <w:bookmarkStart w:id="153" w:name="_GoBack"/>
      <w:r>
        <w:rPr>
          <w:rFonts w:hint="eastAsia" w:ascii="宋体" w:hAnsi="宋体" w:eastAsia="宋体" w:cs="宋体"/>
          <w:color w:val="auto"/>
          <w:sz w:val="24"/>
          <w:szCs w:val="24"/>
          <w:highlight w:val="none"/>
        </w:rPr>
        <w:t xml:space="preserve">标文件</w:t>
      </w:r>
      <w:r>
        <w:rPr>
          <w:rFonts w:hint="eastAsia" w:ascii="宋体" w:hAnsi="宋体" w:eastAsia="宋体" w:cs="宋体"/>
          <w:b/>
          <w:bCs/>
          <w:color w:val="auto"/>
          <w:sz w:val="24"/>
          <w:szCs w:val="24"/>
          <w:highlight w:val="none"/>
        </w:rPr>
        <w:t xml:space="preserve">第四章《采购需求》</w:t>
      </w:r>
      <w:r>
        <w:rPr>
          <w:rFonts w:hint="eastAsia" w:ascii="宋体" w:hAnsi="宋体" w:eastAsia="宋体" w:cs="宋体"/>
          <w:color w:val="auto"/>
          <w:sz w:val="24"/>
          <w:highlight w:val="none"/>
        </w:rPr>
        <w:t xml:space="preserve">；</w:t>
      </w:r>
      <w:bookmarkEnd w:id="153"/>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w:t>
      </w:r>
      <w:r>
        <w:rPr>
          <w:rFonts w:hint="eastAsia" w:ascii="宋体" w:hAnsi="宋体" w:eastAsia="宋体" w:cs="宋体"/>
          <w:bCs/>
          <w:color w:val="auto"/>
          <w:sz w:val="24"/>
          <w:szCs w:val="24"/>
          <w:highlight w:val="none"/>
        </w:rPr>
        <w:t xml:space="preserve">2年</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highlight w:val="none"/>
        </w:rPr>
        <w:t xml:space="preserve">本项目标的所属行业：其他未列明行业（包括科学研究和技术服务业，水利、环境和公共设施管理业，居民服务、修理和其他服务业，社会工作，文化、体育和娱乐业等）。根据《中小企业划型标准规定》工信部联企业</w:t>
      </w:r>
      <w:r>
        <w:rPr>
          <w:rFonts w:hint="eastAsia" w:ascii="宋体" w:hAnsi="宋体" w:eastAsia="宋体" w:cs="宋体"/>
          <w:color w:val="auto"/>
          <w:sz w:val="24"/>
          <w:highlight w:val="none"/>
          <w:lang w:eastAsia="zh-CN"/>
        </w:rPr>
        <w:t xml:space="preserve">〔2011〕300号</w:t>
      </w:r>
      <w:r>
        <w:rPr>
          <w:rFonts w:hint="eastAsia" w:ascii="宋体" w:hAnsi="宋体" w:eastAsia="宋体" w:cs="宋体"/>
          <w:color w:val="auto"/>
          <w:sz w:val="24"/>
          <w:highlight w:val="none"/>
        </w:rPr>
        <w:t xml:space="preserve">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rPr>
        <w:t xml:space="preserve">否</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2.1中小企业政策：本项目专门面向中小企业</w:t>
      </w:r>
      <w:r>
        <w:rPr>
          <w:rFonts w:hint="eastAsia" w:ascii="宋体" w:hAnsi="宋体" w:cs="宋体"/>
          <w:color w:val="auto"/>
          <w:sz w:val="24"/>
          <w:highlight w:val="none"/>
        </w:rPr>
        <w:t xml:space="preserve">（或监狱企业或残疾人福利性单位）采购</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（1）投标供应商必须具备有效期内的《医疗机构执业许可证》复印件加盖公章，所列“诊疗科目”能承担本项目的服务内容；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（2）具备国家卫健委（原卫生部、卫计委）或省级委托市级临床检验中心核发的《临床基因扩增检验实验室—技术验收合格证书》或批准文件；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（3）由于本项目的特殊性质、</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国家安全和国家秘密，本项目</w:t>
      </w:r>
      <w:r>
        <w:rPr>
          <w:rFonts w:hint="eastAsia" w:ascii="宋体" w:hAnsi="宋体" w:cs="宋体"/>
          <w:bCs/>
          <w:color w:val="auto"/>
          <w:sz w:val="24"/>
          <w:szCs w:val="24"/>
          <w:highlight w:val="none"/>
        </w:rPr>
        <w:t xml:space="preserve">不接受外资企业（含具有外资背景的企业）参与投标</w:t>
      </w:r>
      <w:r>
        <w:rPr>
          <w:rFonts w:hint="eastAsia" w:ascii="宋体" w:hAnsi="宋体" w:eastAsia="宋体" w:cs="宋体"/>
          <w:bCs/>
          <w:color w:val="auto"/>
          <w:sz w:val="24"/>
          <w:szCs w:val="24"/>
          <w:highlight w:val="none"/>
        </w:rPr>
        <w:t xml:space="preserve">，提供非外资企业、非外资背景企业的书面声明。</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3.方式：请有投标意向的供应商在招标文件有效获取期内及时至“江苏省政府采购（苏采云）平台”（http://jszfcg</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jsczt.cn/）获取。在招标文件有效获取期限内，从“江苏省政府采购（苏采云）平台”获取的招标文件，视为依法获取的招标文件。</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日14点00分</w:t>
      </w:r>
      <w:r>
        <w:rPr>
          <w:rFonts w:hint="eastAsia" w:ascii="宋体" w:hAnsi="宋体" w:eastAsia="宋体" w:cs="宋体"/>
          <w:bCs/>
          <w:color w:val="auto"/>
          <w:sz w:val="24"/>
          <w:szCs w:val="24"/>
          <w:highlight w:val="none"/>
        </w:rPr>
        <w:t xml:space="preserve">（北京时间），截止时间后上传的任何投标文件恕不接受。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“江苏省政府采购（苏采云）平台”网上开标大厅。</w:t>
      </w:r>
      <w:r/>
    </w:p>
    <w:p>
      <w:pPr>
        <w:pStyle w:val="911"/>
        <w:ind w:firstLine="452"/>
        <w:keepLines w:val="0"/>
        <w:keepNext w:val="0"/>
        <w:spacing w:before="0" w:after="0" w:line="360" w:lineRule="auto"/>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pStyle w:val="911"/>
        <w:ind w:firstLine="452"/>
        <w:keepLines w:val="0"/>
        <w:keepNext w:val="0"/>
        <w:spacing w:before="0" w:after="0" w:line="360" w:lineRule="auto"/>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本次招标联系方式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项目联系人：施晓旻（项目负责人）、曾舒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电话：13057331267、15651504035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称：无锡市儿童医院</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址：无锡市清扬路299-1号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）办理</w:t>
      </w:r>
      <w:r>
        <w:rPr>
          <w:rFonts w:hint="eastAsia" w:ascii="宋体" w:hAnsi="宋体"/>
          <w:color w:val="auto"/>
          <w:sz w:val="24"/>
          <w:highlight w:val="none"/>
        </w:rPr>
        <w:t xml:space="preserve">“意源”CA数字证书和“方正”电子签章</w:t>
      </w:r>
      <w:r>
        <w:rPr>
          <w:rFonts w:ascii="宋体" w:hAnsi="宋体"/>
          <w:color w:val="auto"/>
          <w:sz w:val="24"/>
          <w:highlight w:val="none"/>
        </w:rPr>
        <w:t xml:space="preserve">（办理地址</w:t>
      </w:r>
      <w:r>
        <w:rPr>
          <w:rFonts w:hint="eastAsia" w:ascii="宋体" w:hAnsi="宋体"/>
          <w:color w:val="auto"/>
          <w:sz w:val="24"/>
          <w:highlight w:val="none"/>
        </w:rPr>
        <w:t xml:space="preserve">：无锡市滨湖区观山路</w:t>
      </w:r>
      <w:r>
        <w:rPr>
          <w:rFonts w:ascii="宋体" w:hAnsi="宋体"/>
          <w:color w:val="auto"/>
          <w:sz w:val="24"/>
          <w:highlight w:val="none"/>
        </w:rPr>
        <w:t xml:space="preserve">199</w:t>
      </w:r>
      <w:r>
        <w:rPr>
          <w:rFonts w:hint="eastAsia" w:ascii="宋体" w:hAnsi="宋体"/>
          <w:color w:val="auto"/>
          <w:sz w:val="24"/>
          <w:highlight w:val="none"/>
        </w:rPr>
        <w:t xml:space="preserve">号</w:t>
      </w:r>
      <w:r>
        <w:rPr>
          <w:rFonts w:ascii="宋体" w:hAnsi="宋体"/>
          <w:color w:val="auto"/>
          <w:sz w:val="24"/>
          <w:highlight w:val="none"/>
        </w:rPr>
        <w:t xml:space="preserve">12</w:t>
      </w:r>
      <w:r>
        <w:rPr>
          <w:rFonts w:hint="eastAsia" w:ascii="宋体" w:hAnsi="宋体"/>
          <w:color w:val="auto"/>
          <w:sz w:val="24"/>
          <w:highlight w:val="none"/>
        </w:rPr>
        <w:t xml:space="preserve">号楼二楼</w:t>
      </w:r>
      <w:r>
        <w:rPr>
          <w:rFonts w:ascii="宋体" w:hAnsi="宋体"/>
          <w:color w:val="auto"/>
          <w:sz w:val="24"/>
          <w:highlight w:val="none"/>
        </w:rPr>
        <w:t xml:space="preserve">9</w:t>
      </w:r>
      <w:r>
        <w:rPr>
          <w:rFonts w:hint="eastAsia" w:ascii="宋体" w:hAnsi="宋体"/>
          <w:color w:val="auto"/>
          <w:sz w:val="24"/>
          <w:highlight w:val="none"/>
        </w:rPr>
        <w:t xml:space="preserve">号、</w:t>
      </w:r>
      <w:r>
        <w:rPr>
          <w:rFonts w:ascii="宋体" w:hAnsi="宋体"/>
          <w:color w:val="auto"/>
          <w:sz w:val="24"/>
          <w:highlight w:val="none"/>
        </w:rPr>
        <w:t xml:space="preserve">10</w:t>
      </w:r>
      <w:r>
        <w:rPr>
          <w:rFonts w:hint="eastAsia" w:ascii="宋体" w:hAnsi="宋体"/>
          <w:color w:val="auto"/>
          <w:sz w:val="24"/>
          <w:highlight w:val="none"/>
        </w:rPr>
        <w:t xml:space="preserve">号窗口</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办理指南链接</w:t>
      </w:r>
      <w:r>
        <w:rPr>
          <w:rFonts w:hint="eastAsia" w:ascii="宋体" w:hAnsi="宋体"/>
          <w:color w:val="auto"/>
          <w:sz w:val="24"/>
          <w:highlight w:val="none"/>
        </w:rPr>
        <w:t xml:space="preserve">：</w:t>
      </w:r>
      <w:r>
        <w:rPr>
          <w:rFonts w:ascii="宋体" w:hAnsi="宋体"/>
          <w:color w:val="auto"/>
          <w:sz w:val="24"/>
          <w:highlight w:val="none"/>
        </w:rPr>
        <w:t xml:space="preserve">http://jsxcmm.com/help/help.html</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bCs/>
          <w:color w:val="auto"/>
          <w:sz w:val="24"/>
          <w:highlight w:val="none"/>
        </w:rPr>
        <w:t xml:space="preserve">技术支持QQ</w:t>
      </w:r>
      <w:r>
        <w:rPr>
          <w:rFonts w:hint="eastAsia" w:ascii="宋体" w:hAnsi="宋体"/>
          <w:bCs/>
          <w:color w:val="auto"/>
          <w:sz w:val="24"/>
          <w:highlight w:val="none"/>
        </w:rPr>
        <w:t xml:space="preserve">：</w:t>
      </w:r>
      <w:r>
        <w:rPr>
          <w:rFonts w:ascii="宋体" w:hAnsi="宋体"/>
          <w:bCs/>
          <w:color w:val="auto"/>
          <w:sz w:val="24"/>
          <w:highlight w:val="none"/>
        </w:rPr>
        <w:t xml:space="preserve">孙先生</w:t>
      </w:r>
      <w:r>
        <w:rPr>
          <w:rFonts w:hint="eastAsia" w:ascii="宋体" w:hAnsi="宋体"/>
          <w:bCs/>
          <w:color w:val="auto"/>
          <w:sz w:val="24"/>
          <w:highlight w:val="none"/>
        </w:rPr>
        <w:t xml:space="preserve">：</w:t>
      </w:r>
      <w:r>
        <w:rPr>
          <w:rFonts w:ascii="宋体" w:hAnsi="宋体"/>
          <w:bCs/>
          <w:color w:val="auto"/>
          <w:sz w:val="24"/>
          <w:highlight w:val="none"/>
        </w:rPr>
        <w:t xml:space="preserve">442456465</w:t>
      </w:r>
      <w:r>
        <w:rPr>
          <w:rFonts w:hint="eastAsia" w:ascii="宋体" w:hAnsi="宋体"/>
          <w:bCs/>
          <w:color w:val="auto"/>
          <w:sz w:val="24"/>
          <w:highlight w:val="none"/>
        </w:rPr>
        <w:t xml:space="preserve">；</w:t>
      </w:r>
      <w:r>
        <w:rPr>
          <w:rFonts w:ascii="宋体" w:hAnsi="宋体"/>
          <w:bCs/>
          <w:color w:val="auto"/>
          <w:sz w:val="24"/>
          <w:highlight w:val="none"/>
        </w:rPr>
        <w:t xml:space="preserve">王先生</w:t>
      </w:r>
      <w:r>
        <w:rPr>
          <w:rFonts w:hint="eastAsia" w:ascii="宋体" w:hAnsi="宋体"/>
          <w:bCs/>
          <w:color w:val="auto"/>
          <w:sz w:val="24"/>
          <w:highlight w:val="none"/>
        </w:rPr>
        <w:t xml:space="preserve">：</w:t>
      </w:r>
      <w:r>
        <w:rPr>
          <w:rFonts w:ascii="宋体" w:hAnsi="宋体"/>
          <w:bCs/>
          <w:color w:val="auto"/>
          <w:sz w:val="24"/>
          <w:highlight w:val="none"/>
        </w:rPr>
        <w:t xml:space="preserve">1476328133</w:t>
      </w:r>
      <w:r>
        <w:rPr>
          <w:rFonts w:hint="eastAsia" w:ascii="宋体" w:hAnsi="宋体"/>
          <w:bCs/>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（三）有关本次采购的事项若存在变动或修改，敬请及时关注普信国际工程咨询有限公司在“江苏政府采购网”发布的更正公告。</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本项目为不见面开标，投标人无需递交纸质投标文件至现场，中标后中标供应商需向采购代理机构提供与电子投标文件完全一致的签章的纸质投标文件并在封面加盖单位公章（2份）。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r/>
      <w:bookmarkStart w:id="1" w:name="_Toc16938518"/>
      <w:r/>
      <w:bookmarkStart w:id="2" w:name="_Toc513029202"/>
      <w:r/>
      <w:bookmarkStart w:id="3" w:name="_Toc20823274"/>
      <w:r/>
      <w:bookmarkStart w:id="4" w:name="_Toc120614213"/>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911"/>
        <w:ind w:firstLine="452"/>
        <w:keepLines w:val="0"/>
        <w:keepNext w:val="0"/>
        <w:spacing w:before="0" w:after="0" w:line="360" w:lineRule="auto"/>
        <w:rPr>
          <w:rFonts w:hint="eastAsia" w:ascii="宋体" w:hAnsi="宋体" w:cs="宋体"/>
          <w:color w:val="auto"/>
          <w:sz w:val="30"/>
          <w:szCs w:val="30"/>
          <w:highlight w:val="none"/>
          <w:lang w:eastAsia="zh-CN"/>
        </w:rPr>
      </w:pPr>
      <w:r/>
      <w:bookmarkStart w:id="5" w:name="_Toc20823275"/>
      <w:r/>
      <w:bookmarkStart w:id="6" w:name="_Toc120614214"/>
      <w:r/>
      <w:bookmarkStart w:id="7" w:name="_Toc16938519"/>
      <w:r/>
      <w:bookmarkStart w:id="8" w:name="_Toc513029203"/>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9" w:name="_Hlt16619475"/>
      <w:r/>
      <w:bookmarkEnd w:id="9"/>
      <w:r/>
      <w:bookmarkStart w:id="10" w:name="_Toc513029204"/>
      <w:r/>
      <w:bookmarkStart w:id="11" w:name="_Toc20823276"/>
      <w:r/>
      <w:bookmarkStart w:id="12" w:name="_Toc16938520"/>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3" w:name="_Toc20823277"/>
      <w:r/>
      <w:bookmarkStart w:id="14" w:name="_Toc16938521"/>
      <w:r/>
      <w:bookmarkStart w:id="15" w:name="_Toc513029205"/>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6" w:name="_Toc20823278"/>
      <w:r/>
      <w:bookmarkStart w:id="17" w:name="_Toc513029206"/>
      <w:r/>
      <w:bookmarkStart w:id="18" w:name="_Toc16938522"/>
      <w:r>
        <w:rPr>
          <w:rFonts w:hint="eastAsia" w:ascii="宋体" w:hAnsi="宋体" w:eastAsia="宋体" w:cs="宋体"/>
          <w:bCs w:val="0"/>
          <w:color w:val="auto"/>
          <w:highlight w:val="none"/>
          <w:lang w:eastAsia="zh-CN"/>
        </w:rPr>
        <w:t xml:space="preserve">3.适用法律</w:t>
      </w:r>
      <w:bookmarkEnd w:id="16"/>
      <w:r/>
      <w:bookmarkEnd w:id="17"/>
      <w:r/>
      <w:bookmarkEnd w:id="1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9" w:name="_Toc20823279"/>
      <w:r/>
      <w:bookmarkStart w:id="20" w:name="_Toc462564067"/>
      <w:r/>
      <w:bookmarkStart w:id="21" w:name="_Toc513029207"/>
      <w:r/>
      <w:bookmarkStart w:id="22" w:name="_Toc16938523"/>
      <w:r>
        <w:rPr>
          <w:rFonts w:hint="eastAsia" w:ascii="宋体" w:hAnsi="宋体" w:eastAsia="宋体" w:cs="宋体"/>
          <w:bCs w:val="0"/>
          <w:color w:val="auto"/>
          <w:highlight w:val="none"/>
          <w:lang w:eastAsia="zh-CN"/>
        </w:rPr>
        <w:t xml:space="preserve">4.投标费用</w:t>
      </w:r>
      <w:bookmarkEnd w:id="19"/>
      <w:r/>
      <w:bookmarkEnd w:id="20"/>
      <w:r/>
      <w:bookmarkEnd w:id="21"/>
      <w:r/>
      <w:bookmarkEnd w:id="2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投标人应自行承担所有与参加投标有关的费用，无论投标过程中的做法和结果如何，普信国际工程咨询有限公司在任何情况下均无义务和责任承担这些费用。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4.2本项目采购代理服务费由中标人支付</w:t>
      </w:r>
      <w:r>
        <w:rPr>
          <w:rFonts w:hint="eastAsia" w:ascii="宋体" w:hAnsi="宋体" w:eastAsia="宋体" w:cs="宋体"/>
          <w:bCs/>
          <w:color w:val="auto"/>
          <w:sz w:val="24"/>
          <w:highlight w:val="none"/>
        </w:rPr>
        <w:t xml:space="preserve">。本项目代理费以预算金额为计算基数，按照100万元内*1.5%、100万元-500万元*0.8%累进制计算后打六折计取，由中标人支付。</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5.招标文件的约束力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911"/>
        <w:ind w:firstLine="452"/>
        <w:keepLines w:val="0"/>
        <w:keepNext w:val="0"/>
        <w:spacing w:before="0" w:after="0" w:line="360" w:lineRule="auto"/>
        <w:rPr>
          <w:rFonts w:hint="eastAsia" w:ascii="宋体" w:hAnsi="宋体" w:cs="宋体"/>
          <w:color w:val="auto"/>
          <w:sz w:val="30"/>
          <w:szCs w:val="30"/>
          <w:highlight w:val="none"/>
          <w:lang w:eastAsia="zh-CN"/>
        </w:rPr>
      </w:pPr>
      <w:r/>
      <w:bookmarkStart w:id="23" w:name="_Toc16938525"/>
      <w:r/>
      <w:bookmarkStart w:id="24" w:name="_Toc120614215"/>
      <w:r/>
      <w:bookmarkStart w:id="25" w:name="_Toc513029209"/>
      <w:r/>
      <w:bookmarkStart w:id="26" w:name="_Toc20823281"/>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27" w:name="_Toc513029210"/>
      <w:r/>
      <w:bookmarkStart w:id="28" w:name="_Toc20823282"/>
      <w:r/>
      <w:bookmarkStart w:id="29" w:name="_Toc16938526"/>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30" w:name="_Toc20823283"/>
      <w:r/>
      <w:bookmarkStart w:id="31" w:name="_Toc16938527"/>
      <w:r/>
      <w:bookmarkStart w:id="32" w:name="_Toc513029211"/>
      <w:r/>
      <w:bookmarkStart w:id="33" w:name="_Toc462564070"/>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34" w:name="_Toc462564071"/>
      <w:r/>
      <w:bookmarkStart w:id="35" w:name="_Toc16938528"/>
      <w:r/>
      <w:bookmarkStart w:id="36" w:name="_Toc20823284"/>
      <w:r/>
      <w:bookmarkStart w:id="37" w:name="_Toc513029212"/>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11"/>
        <w:ind w:firstLine="452"/>
        <w:keepLines w:val="0"/>
        <w:keepNext w:val="0"/>
        <w:spacing w:before="0" w:after="0" w:line="360" w:lineRule="auto"/>
        <w:rPr>
          <w:rFonts w:hint="eastAsia" w:ascii="宋体" w:hAnsi="宋体" w:cs="宋体"/>
          <w:color w:val="auto"/>
          <w:sz w:val="30"/>
          <w:szCs w:val="30"/>
          <w:highlight w:val="none"/>
          <w:lang w:eastAsia="zh-CN"/>
        </w:rPr>
      </w:pPr>
      <w:r/>
      <w:bookmarkStart w:id="38" w:name="_Toc16938529"/>
      <w:r/>
      <w:bookmarkStart w:id="39" w:name="_Toc462564072"/>
      <w:r/>
      <w:bookmarkStart w:id="40" w:name="_Toc120614216"/>
      <w:r/>
      <w:bookmarkStart w:id="41" w:name="_Toc20823285"/>
      <w:r/>
      <w:bookmarkStart w:id="42" w:name="_Toc513029213"/>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43" w:name="_Toc20823286"/>
      <w:r/>
      <w:bookmarkStart w:id="44" w:name="_Toc513029214"/>
      <w:r/>
      <w:bookmarkStart w:id="45" w:name="_Toc462564073"/>
      <w:r/>
      <w:bookmarkStart w:id="46" w:name="_Toc16938530"/>
      <w:r>
        <w:rPr>
          <w:rFonts w:hint="eastAsia" w:ascii="宋体" w:hAnsi="宋体" w:eastAsia="宋体" w:cs="宋体"/>
          <w:bCs w:val="0"/>
          <w:color w:val="auto"/>
          <w:highlight w:val="none"/>
          <w:lang w:eastAsia="zh-CN"/>
        </w:rPr>
        <w:t xml:space="preserve">9.投标文件的语言及度量衡单位</w:t>
      </w:r>
      <w:bookmarkEnd w:id="43"/>
      <w:r/>
      <w:bookmarkEnd w:id="44"/>
      <w:r/>
      <w:bookmarkEnd w:id="45"/>
      <w:r/>
      <w:bookmarkEnd w:id="4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47" w:name="_Toc16938531"/>
      <w:r/>
      <w:bookmarkStart w:id="48" w:name="_Toc462564074"/>
      <w:r/>
      <w:bookmarkStart w:id="49" w:name="_Toc20823287"/>
      <w:r/>
      <w:bookmarkStart w:id="50" w:name="_Toc513029215"/>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51" w:name="_Hlt26954838"/>
      <w:r/>
      <w:bookmarkEnd w:id="51"/>
      <w:r/>
      <w:bookmarkStart w:id="52" w:name="_Hlt26670360"/>
      <w:r/>
      <w:bookmarkEnd w:id="52"/>
      <w:r/>
      <w:bookmarkStart w:id="53" w:name="_Hlt26668975"/>
      <w:r/>
      <w:bookmarkEnd w:id="53"/>
      <w:r/>
      <w:bookmarkStart w:id="54" w:name="_Toc513029216"/>
      <w:r/>
      <w:bookmarkStart w:id="55" w:name="_Toc49090507"/>
      <w:r/>
      <w:bookmarkStart w:id="56" w:name="_Toc14577354"/>
      <w:r/>
      <w:bookmarkStart w:id="57" w:name="_Toc49090509"/>
      <w:r/>
      <w:bookmarkStart w:id="58" w:name="_Toc14577357"/>
      <w:r/>
      <w:bookmarkStart w:id="59" w:name="_Toc513029219"/>
      <w:r>
        <w:rPr>
          <w:rFonts w:hint="eastAsia" w:ascii="宋体" w:hAnsi="宋体" w:eastAsia="宋体" w:cs="宋体"/>
          <w:bCs w:val="0"/>
          <w:color w:val="auto"/>
          <w:highlight w:val="none"/>
          <w:lang w:eastAsia="zh-CN"/>
        </w:rPr>
        <w:t xml:space="preserve">11.证明投标人及投标标的符合招标文件规定的文件</w:t>
      </w:r>
      <w:bookmarkEnd w:id="54"/>
      <w:r/>
      <w:bookmarkEnd w:id="55"/>
      <w:r/>
      <w:bookmarkEnd w:id="56"/>
      <w:r/>
      <w:bookmarkEnd w:id="57"/>
      <w:r/>
      <w:bookmarkEnd w:id="58"/>
      <w:r/>
      <w:bookmarkEnd w:id="59"/>
      <w:r/>
      <w:r/>
    </w:p>
    <w:p>
      <w:pPr>
        <w:ind w:firstLine="480"/>
        <w:spacing w:line="360" w:lineRule="auto"/>
        <w:rPr>
          <w:rFonts w:hint="eastAsia" w:ascii="宋体" w:hAnsi="宋体" w:eastAsia="宋体" w:cs="宋体"/>
          <w:bCs/>
          <w:color w:val="auto"/>
          <w:sz w:val="24"/>
          <w:highlight w:val="none"/>
        </w:rPr>
      </w:pPr>
      <w:r/>
      <w:bookmarkStart w:id="60" w:name="_Toc49090508"/>
      <w:r/>
      <w:bookmarkStart w:id="61" w:name="_Toc14577355"/>
      <w:r>
        <w:rPr>
          <w:rFonts w:hint="eastAsia" w:ascii="宋体" w:hAnsi="宋体" w:eastAsia="宋体" w:cs="宋体"/>
          <w:bCs/>
          <w:color w:val="auto"/>
          <w:sz w:val="24"/>
          <w:highlight w:val="none"/>
        </w:rPr>
        <w:t xml:space="preserve">11.1投标人应按照法律法规、规章和规范性文件以及招标文件要求提交证明文件，证明其投标标的符合招标文件的规定。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62" w:name="_Toc14577359"/>
      <w:r/>
      <w:bookmarkStart w:id="63" w:name="_Toc49090510"/>
      <w:r>
        <w:rPr>
          <w:rFonts w:hint="eastAsia" w:ascii="宋体" w:hAnsi="宋体" w:eastAsia="宋体" w:cs="宋体"/>
          <w:bCs w:val="0"/>
          <w:color w:val="auto"/>
          <w:highlight w:val="none"/>
          <w:lang w:eastAsia="zh-CN"/>
        </w:rPr>
        <w:t xml:space="preserve">12.投标函、承诺书和开标一览表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13.</w:t>
      </w:r>
      <w:bookmarkEnd w:id="60"/>
      <w:r/>
      <w:bookmarkEnd w:id="61"/>
      <w:r>
        <w:rPr>
          <w:rFonts w:hint="eastAsia" w:ascii="宋体" w:hAnsi="宋体" w:eastAsia="宋体" w:cs="宋体"/>
          <w:bCs w:val="0"/>
          <w:color w:val="auto"/>
          <w:highlight w:val="none"/>
          <w:lang w:eastAsia="zh-CN"/>
        </w:rPr>
        <w:t xml:space="preserve">分项报价表（如有）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64" w:name="_Hlt26954840"/>
      <w:r/>
      <w:bookmarkEnd w:id="64"/>
      <w:r>
        <w:rPr>
          <w:rFonts w:hint="eastAsia" w:ascii="宋体" w:hAnsi="宋体" w:eastAsia="宋体" w:cs="宋体"/>
          <w:color w:val="auto"/>
          <w:sz w:val="24"/>
          <w:highlight w:val="none"/>
        </w:rPr>
        <w:t xml:space="preserve">标人应按照招标文件规定格式填报</w:t>
      </w:r>
      <w:bookmarkStart w:id="65" w:name="_Hlt26670399"/>
      <w:r/>
      <w:bookmarkEnd w:id="65"/>
      <w:r>
        <w:rPr>
          <w:rFonts w:hint="eastAsia" w:ascii="宋体" w:hAnsi="宋体" w:eastAsia="宋体" w:cs="宋体"/>
          <w:color w:val="auto"/>
          <w:sz w:val="24"/>
          <w:highlight w:val="none"/>
        </w:rPr>
        <w:t xml:space="preserve">报价表。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66" w:name="_Hlt26954842"/>
      <w:r/>
      <w:bookmarkEnd w:id="66"/>
      <w:r/>
      <w:bookmarkStart w:id="67" w:name="_Hlt26670425"/>
      <w:r/>
      <w:bookmarkEnd w:id="67"/>
      <w:r/>
      <w:bookmarkStart w:id="68" w:name="_Hlt26954844"/>
      <w:r/>
      <w:bookmarkEnd w:id="68"/>
      <w:r/>
      <w:bookmarkStart w:id="69" w:name="_Hlt26670482"/>
      <w:r/>
      <w:bookmarkEnd w:id="69"/>
      <w:r/>
      <w:bookmarkStart w:id="70" w:name="_Hlt26670403"/>
      <w:r/>
      <w:bookmarkEnd w:id="70"/>
      <w:r/>
      <w:bookmarkStart w:id="71" w:name="_Hlt26954848"/>
      <w:r/>
      <w:bookmarkEnd w:id="71"/>
      <w:r/>
      <w:bookmarkStart w:id="72" w:name="_Hlt26954846"/>
      <w:r/>
      <w:bookmarkEnd w:id="72"/>
      <w:r/>
      <w:bookmarkStart w:id="73" w:name="_Hlt26668983"/>
      <w:r/>
      <w:bookmarkEnd w:id="73"/>
      <w:r/>
      <w:bookmarkStart w:id="74" w:name="_Hlt26670486"/>
      <w:r/>
      <w:bookmarkEnd w:id="74"/>
      <w:r/>
      <w:bookmarkStart w:id="75" w:name="_Hlt26954731"/>
      <w:r/>
      <w:bookmarkEnd w:id="75"/>
      <w:r>
        <w:rPr>
          <w:rFonts w:hint="eastAsia" w:ascii="宋体" w:hAnsi="宋体" w:eastAsia="宋体" w:cs="宋体"/>
          <w:bCs w:val="0"/>
          <w:color w:val="auto"/>
          <w:highlight w:val="none"/>
          <w:lang w:eastAsia="zh-CN"/>
        </w:rPr>
        <w:t xml:space="preserve">14.投标偏离表</w:t>
      </w:r>
      <w:r/>
    </w:p>
    <w:p>
      <w:pPr>
        <w:ind w:firstLine="480"/>
        <w:spacing w:line="360" w:lineRule="auto"/>
        <w:tabs>
          <w:tab w:val="left" w:pos="1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76" w:name="_Hlt26954734"/>
      <w:r/>
      <w:bookmarkEnd w:id="76"/>
      <w:r/>
      <w:bookmarkStart w:id="77" w:name="_Hlt26954850"/>
      <w:r/>
      <w:bookmarkEnd w:id="77"/>
      <w:r/>
      <w:bookmarkStart w:id="78" w:name="_Hlt26670489"/>
      <w:r/>
      <w:bookmarkEnd w:id="78"/>
      <w:r/>
      <w:bookmarkStart w:id="79" w:name="_Toc49090511"/>
      <w:r/>
      <w:bookmarkStart w:id="80" w:name="_Toc14577360"/>
      <w:r>
        <w:rPr>
          <w:rFonts w:hint="eastAsia" w:ascii="宋体" w:hAnsi="宋体" w:eastAsia="宋体" w:cs="宋体"/>
          <w:bCs w:val="0"/>
          <w:color w:val="auto"/>
          <w:highlight w:val="none"/>
          <w:lang w:eastAsia="zh-CN"/>
        </w:rPr>
        <w:t xml:space="preserve">15.投标有效期</w:t>
      </w:r>
      <w:bookmarkEnd w:id="79"/>
      <w:r/>
      <w:bookmarkEnd w:id="80"/>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16.投标有效期的延长</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911"/>
        <w:ind w:firstLine="452"/>
        <w:keepLines w:val="0"/>
        <w:keepNext w:val="0"/>
        <w:spacing w:before="0" w:after="0" w:line="360" w:lineRule="auto"/>
        <w:rPr>
          <w:rFonts w:hint="eastAsia" w:ascii="宋体" w:hAnsi="宋体" w:cs="宋体"/>
          <w:color w:val="auto"/>
          <w:sz w:val="30"/>
          <w:szCs w:val="30"/>
          <w:highlight w:val="none"/>
          <w:lang w:eastAsia="zh-CN"/>
        </w:rPr>
      </w:pPr>
      <w:r/>
      <w:bookmarkStart w:id="81" w:name="_Hlt26954739"/>
      <w:r/>
      <w:bookmarkEnd w:id="81"/>
      <w:r/>
      <w:bookmarkStart w:id="82" w:name="_Hlt26954852"/>
      <w:r/>
      <w:bookmarkEnd w:id="82"/>
      <w:r/>
      <w:bookmarkStart w:id="83" w:name="_Toc120614217"/>
      <w:r/>
      <w:bookmarkStart w:id="84" w:name="_Toc16938540"/>
      <w:r/>
      <w:bookmarkStart w:id="85" w:name="_Toc513029224"/>
      <w:r/>
      <w:bookmarkStart w:id="86" w:name="_Toc20823296"/>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87" w:name="_Toc16938541"/>
      <w:r/>
      <w:bookmarkStart w:id="88" w:name="_Toc20823297"/>
      <w:r/>
      <w:bookmarkStart w:id="89" w:name="_Toc462564084"/>
      <w:r/>
      <w:bookmarkStart w:id="90" w:name="_Toc513029225"/>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165"/>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20823298"/>
      <w:r/>
      <w:bookmarkStart w:id="92" w:name="_Toc513029226"/>
      <w:r/>
      <w:bookmarkStart w:id="93" w:name="_Toc16938542"/>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94" w:name="_Toc20823299"/>
      <w:r/>
      <w:bookmarkStart w:id="95" w:name="_Toc513029227"/>
      <w:r/>
      <w:bookmarkStart w:id="96" w:name="_Toc16938543"/>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97" w:name="_Toc20823300"/>
      <w:r/>
      <w:bookmarkStart w:id="98" w:name="_Toc16938544"/>
      <w:r/>
      <w:bookmarkStart w:id="99" w:name="_Toc513029228"/>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20.1.2投标人撤回电子投标文件，则认为其不再参与本项目投标活动。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911"/>
        <w:ind w:firstLine="452"/>
        <w:keepLines w:val="0"/>
        <w:keepNext w:val="0"/>
        <w:spacing w:before="0" w:after="0" w:line="360" w:lineRule="auto"/>
        <w:rPr>
          <w:rFonts w:hint="eastAsia" w:ascii="宋体" w:hAnsi="宋体" w:cs="宋体"/>
          <w:color w:val="auto"/>
          <w:sz w:val="30"/>
          <w:szCs w:val="30"/>
          <w:highlight w:val="none"/>
          <w:lang w:eastAsia="zh-CN"/>
        </w:rPr>
      </w:pPr>
      <w:r/>
      <w:bookmarkStart w:id="100" w:name="_Toc20823301"/>
      <w:r/>
      <w:bookmarkStart w:id="101" w:name="_Toc513029229"/>
      <w:r/>
      <w:bookmarkStart w:id="102" w:name="_Toc120614218"/>
      <w:r/>
      <w:bookmarkStart w:id="103" w:name="_Toc16938545"/>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04" w:name="_Toc513029230"/>
      <w:r/>
      <w:bookmarkStart w:id="105" w:name="_Toc16938546"/>
      <w:r/>
      <w:bookmarkStart w:id="106" w:name="_Toc20823302"/>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07" w:name="_Toc16938547"/>
      <w:r/>
      <w:bookmarkStart w:id="108" w:name="_Toc20823303"/>
      <w:r/>
      <w:bookmarkStart w:id="109" w:name="_Toc513029231"/>
      <w:r>
        <w:rPr>
          <w:rFonts w:hint="eastAsia" w:ascii="宋体" w:hAnsi="宋体" w:eastAsia="宋体" w:cs="宋体"/>
          <w:bCs w:val="0"/>
          <w:color w:val="auto"/>
          <w:highlight w:val="none"/>
          <w:lang w:eastAsia="zh-CN"/>
        </w:rPr>
        <w:t xml:space="preserve">22.评标委员会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23.1凡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10" w:name="_Toc16938548"/>
      <w:r/>
      <w:bookmarkStart w:id="111" w:name="_Toc513029232"/>
      <w:r/>
      <w:bookmarkStart w:id="112" w:name="_Toc20823304"/>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13" w:name="_Toc20823305"/>
      <w:r/>
      <w:bookmarkStart w:id="114" w:name="_Toc16938549"/>
      <w:r/>
      <w:bookmarkStart w:id="115" w:name="_Toc513029233"/>
      <w:r>
        <w:rPr>
          <w:rFonts w:hint="eastAsia" w:ascii="宋体" w:hAnsi="宋体" w:eastAsia="宋体" w:cs="宋体"/>
          <w:bCs w:val="0"/>
          <w:color w:val="auto"/>
          <w:highlight w:val="none"/>
          <w:lang w:eastAsia="zh-CN"/>
        </w:rPr>
        <w:t xml:space="preserve">25.对投标文件的初审</w:t>
      </w:r>
      <w:bookmarkEnd w:id="113"/>
      <w:r/>
      <w:bookmarkEnd w:id="114"/>
      <w:r/>
      <w:bookmarkEnd w:id="115"/>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hint="eastAsia" w:ascii="宋体" w:hAnsi="宋体" w:eastAsia="宋体" w:cs="宋体"/>
          <w:color w:val="auto"/>
          <w:sz w:val="24"/>
          <w:highlight w:val="none"/>
        </w:rPr>
      </w:pPr>
      <w:r/>
      <w:bookmarkStart w:id="116" w:name="_Toc513029234"/>
      <w:r/>
      <w:bookmarkStart w:id="117" w:name="_Toc16938550"/>
      <w:r/>
      <w:bookmarkStart w:id="118" w:name="_Toc20823306"/>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投标（响应）报价低于采购项目最高限价45%的，即投标（响应）报价&lt;采购项目最高限价×45%；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080"/>
        <w:ind w:firstLine="422"/>
        <w:keepLines w:val="0"/>
        <w:keepNext w:val="0"/>
        <w:spacing w:before="0" w:after="0" w:line="360" w:lineRule="auto"/>
        <w:rPr>
          <w:rFonts w:hint="eastAsia"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 </w:t>
      </w:r>
      <w:r/>
    </w:p>
    <w:p>
      <w:pPr>
        <w:pStyle w:val="1080"/>
        <w:ind w:firstLine="422"/>
        <w:keepLines w:val="0"/>
        <w:keepNext w:val="0"/>
        <w:spacing w:before="0" w:after="0" w:line="360" w:lineRule="auto"/>
        <w:rPr>
          <w:rFonts w:hint="eastAsia"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26</w:t>
      </w:r>
      <w:bookmarkEnd w:id="116"/>
      <w:r/>
      <w:bookmarkEnd w:id="117"/>
      <w:r/>
      <w:bookmarkEnd w:id="118"/>
      <w:r>
        <w:rPr>
          <w:rFonts w:hint="eastAsia" w:ascii="宋体" w:hAnsi="宋体" w:eastAsia="宋体" w:cs="宋体"/>
          <w:bCs w:val="0"/>
          <w:color w:val="auto"/>
          <w:highlight w:val="none"/>
          <w:lang w:eastAsia="zh-CN"/>
        </w:rPr>
        <w:t xml:space="preserve">.无效投标条款和废标条款</w:t>
      </w:r>
      <w:r/>
    </w:p>
    <w:p>
      <w:pPr>
        <w:ind w:left="479"/>
        <w:spacing w:line="360" w:lineRule="auto"/>
        <w:rPr>
          <w:rFonts w:hint="eastAsia" w:ascii="宋体" w:hAnsi="宋体" w:eastAsia="宋体" w:cs="宋体"/>
          <w:bCs/>
          <w:color w:val="auto"/>
          <w:sz w:val="24"/>
          <w:highlight w:val="none"/>
        </w:rPr>
      </w:pPr>
      <w:r/>
      <w:bookmarkStart w:id="119" w:name="_Toc16938551"/>
      <w:r/>
      <w:bookmarkStart w:id="120" w:name="_Toc20823307"/>
      <w:r/>
      <w:bookmarkStart w:id="121" w:name="_Toc513029235"/>
      <w:r>
        <w:rPr>
          <w:rFonts w:hint="eastAsia" w:ascii="宋体" w:hAnsi="宋体" w:eastAsia="宋体" w:cs="宋体"/>
          <w:bCs/>
          <w:color w:val="auto"/>
          <w:sz w:val="24"/>
          <w:highlight w:val="none"/>
        </w:rPr>
        <w:t xml:space="preserve">26.1无效投标条款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项目（标项、标段）投标总价超过本项目（标项、标段）预算或最高限价的。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26.1.17不同投标人的投标文件的目录序号、排版格式、文字风格等存在明显的相似性或一致性，特征显示由同一单位或同一个人编制的。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26.1.24其他法律法规及本招标文件规定的无效投标的情形。</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11"/>
        <w:ind w:firstLine="452"/>
        <w:keepLines w:val="0"/>
        <w:keepNext w:val="0"/>
        <w:spacing w:before="0" w:after="0" w:line="360" w:lineRule="auto"/>
        <w:rPr>
          <w:rFonts w:hint="eastAsia" w:ascii="宋体" w:hAnsi="宋体" w:cs="宋体"/>
          <w:color w:val="auto"/>
          <w:sz w:val="30"/>
          <w:szCs w:val="30"/>
          <w:highlight w:val="none"/>
          <w:lang w:eastAsia="zh-CN"/>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23" w:name="_Toc513029238"/>
      <w:r/>
      <w:bookmarkStart w:id="124" w:name="_Toc16938554"/>
      <w:r/>
      <w:bookmarkStart w:id="125" w:name="_Toc20823310"/>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hint="eastAsia"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748"/>
        <w:ind w:firstLine="480"/>
        <w:spacing w:before="0" w:beforeAutospacing="0" w:after="0" w:afterAutospacing="0" w:line="360" w:lineRule="auto"/>
        <w:rPr>
          <w:rFonts w:hint="eastAsia" w:eastAsia="宋体" w:cs="宋体"/>
          <w:bCs/>
          <w:color w:val="auto"/>
          <w:highlight w:val="none"/>
        </w:rPr>
      </w:pPr>
      <w:r>
        <w:rPr>
          <w:rStyle w:val="753"/>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11"/>
        <w:ind w:firstLine="452"/>
        <w:keepLines w:val="0"/>
        <w:keepNext w:val="0"/>
        <w:spacing w:before="0" w:after="0" w:line="360" w:lineRule="auto"/>
        <w:rPr>
          <w:rFonts w:hint="eastAsia" w:ascii="宋体" w:hAnsi="宋体" w:cs="宋体"/>
          <w:color w:val="auto"/>
          <w:sz w:val="30"/>
          <w:szCs w:val="30"/>
          <w:highlight w:val="none"/>
          <w:lang w:eastAsia="zh-CN"/>
        </w:rPr>
      </w:pPr>
      <w:r/>
      <w:bookmarkStart w:id="127" w:name="_Toc513029236"/>
      <w:r/>
      <w:bookmarkStart w:id="128" w:name="_Toc16938552"/>
      <w:r/>
      <w:bookmarkStart w:id="129" w:name="_Toc120614220"/>
      <w:r/>
      <w:bookmarkStart w:id="130" w:name="_Toc20823308"/>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31" w:name="_Toc16938553"/>
      <w:r/>
      <w:bookmarkStart w:id="132" w:name="_Toc513029237"/>
      <w:r/>
      <w:bookmarkStart w:id="133" w:name="_Toc20823309"/>
      <w:r>
        <w:rPr>
          <w:rFonts w:hint="eastAsia" w:ascii="宋体" w:hAnsi="宋体" w:eastAsia="宋体" w:cs="宋体"/>
          <w:bCs w:val="0"/>
          <w:color w:val="auto"/>
          <w:highlight w:val="none"/>
          <w:lang w:eastAsia="zh-CN"/>
        </w:rPr>
        <w:t xml:space="preserve">30.签订合同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080"/>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bookmarkEnd w:id="132"/>
      <w:r/>
      <w:bookmarkEnd w:id="133"/>
      <w:r/>
      <w:r/>
    </w:p>
    <w:p>
      <w:pPr>
        <w:rPr>
          <w:rFonts w:ascii="宋体" w:hAnsi="宋体" w:cs="宋体"/>
          <w:b/>
          <w:color w:val="auto"/>
          <w:sz w:val="36"/>
          <w:szCs w:val="36"/>
          <w:highlight w:val="none"/>
        </w:rPr>
      </w:pPr>
      <w:r/>
      <w:bookmarkStart w:id="134" w:name="_Toc20823315"/>
      <w:r/>
      <w:bookmarkStart w:id="135" w:name="_Toc16938559"/>
      <w:r/>
      <w:bookmarkStart w:id="136" w:name="_Toc513029243"/>
      <w:r>
        <w:rPr>
          <w:rFonts w:hint="eastAsia" w:ascii="宋体" w:hAnsi="宋体" w:cs="宋体"/>
          <w:b/>
          <w:color w:val="auto"/>
          <w:sz w:val="36"/>
          <w:szCs w:val="36"/>
          <w:highlight w:val="none"/>
        </w:rPr>
        <w:br w:type="page" w:clear="all"/>
      </w:r>
      <w:r/>
    </w:p>
    <w:p>
      <w:pPr>
        <w:pStyle w:val="1077"/>
        <w:numPr>
          <w:ilvl w:val="0"/>
          <w:numId w:val="7"/>
        </w:numPr>
        <w:ind w:firstLine="0"/>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 合同文本</w:t>
      </w:r>
      <w:bookmarkEnd w:id="134"/>
      <w:r/>
      <w:bookmarkEnd w:id="135"/>
      <w:r/>
      <w:bookmarkEnd w:id="136"/>
      <w:r/>
      <w:r/>
    </w:p>
    <w:p>
      <w:pPr>
        <w:ind w:firstLine="480"/>
        <w:jc w:val="left"/>
        <w:spacing w:line="360" w:lineRule="auto"/>
        <w:widowControl/>
        <w:rPr>
          <w:rFonts w:ascii="宋体" w:hAnsi="宋体" w:cs="宋体"/>
          <w:color w:val="auto"/>
          <w:sz w:val="24"/>
          <w:szCs w:val="24"/>
          <w:highlight w:val="none"/>
        </w:rPr>
      </w:pPr>
      <w:r/>
      <w:bookmarkStart w:id="137" w:name="_Hlt16619350"/>
      <w:r/>
      <w:bookmarkStart w:id="138" w:name="_Toc120614244"/>
      <w:r/>
      <w:bookmarkStart w:id="139" w:name="_Toc16938590"/>
      <w:r/>
      <w:bookmarkStart w:id="140" w:name="_Toc20823346"/>
      <w:r>
        <w:rPr>
          <w:rFonts w:hint="eastAsia" w:ascii="宋体" w:hAnsi="宋体" w:cs="宋体"/>
          <w:color w:val="auto"/>
          <w:sz w:val="24"/>
          <w:szCs w:val="24"/>
          <w:highlight w:val="none"/>
          <w:lang w:bidi="ar"/>
        </w:rPr>
        <w:t xml:space="preserve"> 根据《中华人民共和国政府采购法》及相关法规、《中华人民共和国民法典》，遵循平等、自愿、公平和诚实信用的原则，甲乙双方就项目（项目编号：</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）实施及有关事项协商一致，共同达成如下协议：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甲方（采购人）： 无锡市儿童医院 </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乙方（中标方）：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一、 采购项目编号：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二、 采购项目名称：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三、 中标（成交）金额：（大写） </w:t>
      </w:r>
      <w:r/>
    </w:p>
    <w:p>
      <w:pPr>
        <w:ind w:firstLine="96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中标（成交）金额：（小写）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四、 项目服务期限：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五、 项目整体服务期：</w:t>
      </w:r>
      <w:r/>
    </w:p>
    <w:p>
      <w:pPr>
        <w:ind w:firstLine="480"/>
        <w:jc w:val="left"/>
        <w:spacing w:line="360"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六、 货款支付步骤和办法：</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七、 合同书不可分割部分：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招标（采购）文件、投标（报价）文件、合同条款及中标通知书，供方在投标、评标过程中所作其它有关承诺、声明、书面澄清等均为合同不可分割的部分，与主合同具有同等法律效力。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八、合同书组成：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合同书由格式条款和合同条款二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与履约验收挂钩的资金支付条件及时间，验收、交付标准和方法，质量保修范围和保修期，违约责任与解决争议的方法，甲乙双方权利与义务，合同分包要求，合同类型等。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九、合同书生效及注意事项：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合同书格式条款与合同条款共同组成完整合同书。采购人在确定中标（成交）供应商之日起三十个日历天内，完成合同书签订工作。甲乙双方在合同书上确认签章后，合同即生效并经系统自动将合同书推送“</w:t>
      </w:r>
      <w:r>
        <w:rPr>
          <w:rFonts w:hint="eastAsia" w:ascii="宋体" w:hAnsi="宋体" w:eastAsia="宋体" w:cs="宋体"/>
          <w:color w:val="auto"/>
          <w:sz w:val="24"/>
          <w:szCs w:val="24"/>
          <w:highlight w:val="none"/>
          <w:lang w:bidi="ar"/>
        </w:rPr>
        <w:t xml:space="preserve">江苏省</w:t>
      </w:r>
      <w:r>
        <w:rPr>
          <w:rFonts w:hint="eastAsia" w:ascii="宋体" w:hAnsi="宋体" w:cs="宋体"/>
          <w:color w:val="auto"/>
          <w:sz w:val="24"/>
          <w:szCs w:val="24"/>
          <w:highlight w:val="none"/>
          <w:lang w:bidi="ar"/>
        </w:rPr>
        <w:t xml:space="preserve">政府采购网”进行公示。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十、甲乙双方如有</w:t>
      </w:r>
      <w:r>
        <w:rPr>
          <w:rFonts w:hint="eastAsia" w:ascii="宋体" w:hAnsi="宋体" w:eastAsia="宋体" w:cs="宋体"/>
          <w:color w:val="auto"/>
          <w:sz w:val="24"/>
          <w:szCs w:val="24"/>
          <w:highlight w:val="none"/>
          <w:lang w:eastAsia="zh-CN" w:bidi="ar"/>
        </w:rPr>
        <w:t xml:space="preserve">其他</w:t>
      </w:r>
      <w:r>
        <w:rPr>
          <w:rFonts w:hint="eastAsia" w:ascii="宋体" w:hAnsi="宋体" w:cs="宋体"/>
          <w:color w:val="auto"/>
          <w:sz w:val="24"/>
          <w:szCs w:val="24"/>
          <w:highlight w:val="none"/>
          <w:lang w:bidi="ar"/>
        </w:rPr>
        <w:t xml:space="preserve">要求，可参照招标（采购）文件、投标（报价）文件（采购人不得向供应商提出超出招标文件以外的任何要求作为签订合同的条件，不得与成交供应商订立背离招标文件确定的合同文本以及采购标的、规格型号、采购金额、采购数量、技术和服务要求等实质性内容的协议），并在不违反本合同条款的前提下，甲乙双方自行拟定补充条款。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十一、根据</w:t>
      </w:r>
      <w:r>
        <w:rPr>
          <w:rFonts w:hint="eastAsia" w:ascii="宋体" w:hAnsi="宋体" w:eastAsia="宋体" w:cs="宋体"/>
          <w:color w:val="auto"/>
          <w:sz w:val="24"/>
          <w:szCs w:val="24"/>
          <w:highlight w:val="none"/>
          <w:lang w:eastAsia="zh-CN" w:bidi="ar"/>
        </w:rPr>
        <w:t xml:space="preserve">《中华人民共和国政府采购法》</w:t>
      </w:r>
      <w:r>
        <w:rPr>
          <w:rFonts w:hint="eastAsia" w:ascii="宋体" w:hAnsi="宋体" w:cs="宋体"/>
          <w:color w:val="auto"/>
          <w:sz w:val="24"/>
          <w:szCs w:val="24"/>
          <w:highlight w:val="none"/>
          <w:lang w:bidi="ar"/>
        </w:rPr>
        <w:t xml:space="preserve">第四十九</w:t>
      </w:r>
      <w:r>
        <w:rPr>
          <w:rFonts w:hint="eastAsia" w:ascii="宋体" w:hAnsi="宋体" w:eastAsia="宋体" w:cs="宋体"/>
          <w:color w:val="auto"/>
          <w:sz w:val="24"/>
          <w:szCs w:val="24"/>
          <w:highlight w:val="none"/>
          <w:lang w:eastAsia="zh-CN" w:bidi="ar"/>
        </w:rPr>
        <w:t xml:space="preserve">、第</w:t>
      </w:r>
      <w:r>
        <w:rPr>
          <w:rFonts w:hint="eastAsia" w:ascii="宋体" w:hAnsi="宋体" w:cs="宋体"/>
          <w:color w:val="auto"/>
          <w:sz w:val="24"/>
          <w:szCs w:val="24"/>
          <w:highlight w:val="none"/>
          <w:lang w:bidi="ar"/>
        </w:rPr>
        <w:t xml:space="preserve">五十条规定，甲乙双方不得擅自变更、中止或终止合同。 </w:t>
      </w:r>
      <w:r/>
    </w:p>
    <w:p>
      <w:pPr>
        <w:rPr>
          <w:rFonts w:ascii="宋体" w:hAnsi="宋体"/>
          <w:bCs/>
          <w:color w:val="auto"/>
          <w:sz w:val="36"/>
          <w:szCs w:val="36"/>
          <w:highlight w:val="none"/>
        </w:rPr>
      </w:pPr>
      <w:r>
        <w:rPr>
          <w:rFonts w:ascii="宋体" w:hAnsi="宋体"/>
          <w:bCs/>
          <w:color w:val="auto"/>
          <w:sz w:val="36"/>
          <w:szCs w:val="36"/>
          <w:highlight w:val="none"/>
        </w:rPr>
      </w:r>
      <w:r/>
    </w:p>
    <w:p>
      <w:pPr>
        <w:jc w:val="center"/>
        <w:spacing w:line="360" w:lineRule="auto"/>
        <w:tabs>
          <w:tab w:val="center" w:pos="4819" w:leader="none"/>
          <w:tab w:val="left" w:pos="7620" w:leader="none"/>
        </w:tabs>
        <w:rPr>
          <w:rFonts w:ascii="宋体" w:hAnsi="宋体"/>
          <w:bCs/>
          <w:color w:val="auto"/>
          <w:sz w:val="36"/>
          <w:szCs w:val="36"/>
          <w:highlight w:val="none"/>
        </w:rPr>
      </w:pPr>
      <w:r>
        <w:rPr>
          <w:rFonts w:hint="eastAsia" w:ascii="宋体" w:hAnsi="宋体"/>
          <w:bCs/>
          <w:color w:val="auto"/>
          <w:sz w:val="36"/>
          <w:szCs w:val="36"/>
          <w:highlight w:val="none"/>
        </w:rPr>
        <w:br w:type="page" w:clear="all"/>
      </w:r>
      <w:r>
        <w:rPr>
          <w:rFonts w:hint="eastAsia" w:ascii="宋体" w:hAnsi="宋体"/>
          <w:bCs/>
          <w:color w:val="auto"/>
          <w:sz w:val="36"/>
          <w:szCs w:val="36"/>
          <w:highlight w:val="none"/>
        </w:rPr>
        <w:t xml:space="preserve">合同条款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甲  方：</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（采购人/发包人）</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乙  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（中标人/承包人）</w:t>
      </w:r>
      <w:r/>
    </w:p>
    <w:p>
      <w:pPr>
        <w:ind w:firstLine="480"/>
        <w:spacing w:line="360" w:lineRule="auto"/>
        <w:tabs>
          <w:tab w:val="left" w:pos="3990" w:leader="none"/>
        </w:tabs>
        <w:rPr>
          <w:rFonts w:ascii="宋体" w:hAnsi="宋体" w:cs="宋体"/>
          <w:color w:val="auto"/>
          <w:sz w:val="24"/>
          <w:highlight w:val="none"/>
        </w:rPr>
      </w:pPr>
      <w:r>
        <w:rPr>
          <w:rFonts w:hint="eastAsia" w:ascii="宋体" w:hAnsi="宋体" w:cs="宋体"/>
          <w:color w:val="auto"/>
          <w:sz w:val="24"/>
          <w:highlight w:val="none"/>
        </w:rPr>
        <w:t xml:space="preserve">甲方于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日组织了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政府采购公开招标，经评委会认真严格地评审，确定由乙方中标。</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为了给甲方的患者提供更优质、便捷、完善的医疗保健服务，甲乙双方秉着平等、协作、多赢的原则，就委托医学检验事宜达成如下协议：</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一.合同标的</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lang w:val="zh-CN"/>
        </w:rPr>
        <w:t xml:space="preserve">乙方根据甲方需求提供下列服务：</w:t>
      </w:r>
      <w:r>
        <w:rPr>
          <w:rFonts w:hint="eastAsia" w:ascii="宋体" w:hAnsi="宋体" w:cs="宋体"/>
          <w:b/>
          <w:color w:val="auto"/>
          <w:sz w:val="24"/>
          <w:highlight w:val="none"/>
          <w:u w:val="single"/>
        </w:rPr>
        <w:t xml:space="preserve">儿童遗传病基因检测</w:t>
      </w:r>
      <w:r>
        <w:rPr>
          <w:rFonts w:hint="eastAsia" w:ascii="宋体" w:hAnsi="宋体" w:cs="宋体"/>
          <w:color w:val="auto"/>
          <w:sz w:val="24"/>
          <w:highlight w:val="none"/>
          <w:lang w:val="zh-CN"/>
        </w:rPr>
        <w:t xml:space="preserve">详见招标文件和乙方投标文件。</w:t>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　　二.组成本合作协议书的有关文件</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下列关于</w:t>
      </w:r>
      <w:r>
        <w:rPr>
          <w:rFonts w:hint="eastAsia" w:ascii="宋体" w:hAnsi="宋体" w:cs="宋体"/>
          <w:b/>
          <w:color w:val="auto"/>
          <w:sz w:val="24"/>
          <w:highlight w:val="none"/>
          <w:u w:val="single"/>
          <w:lang w:val="zh-CN"/>
        </w:rPr>
        <w:t xml:space="preserve">     </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zh-CN"/>
        </w:rPr>
        <w:t xml:space="preserve">   </w:t>
      </w:r>
      <w:r>
        <w:rPr>
          <w:rFonts w:hint="eastAsia" w:ascii="宋体" w:hAnsi="宋体" w:cs="宋体"/>
          <w:color w:val="auto"/>
          <w:sz w:val="24"/>
          <w:highlight w:val="none"/>
          <w:lang w:val="zh-CN"/>
        </w:rPr>
        <w:t xml:space="preserve">标的招标文件和乙方投标文件或与本次采购活动方式相适应的文件及有关附件是本合同协议书不可分割的组成部分，与本合同协议书具有同等法律效力，这些文件包括但不限于：</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（1）乙方提供的投标文件和最终承诺函；</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（2）技术规格响应表；</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（3）</w:t>
      </w:r>
      <w:r>
        <w:rPr>
          <w:rFonts w:hint="eastAsia" w:ascii="宋体" w:hAnsi="宋体" w:cs="宋体"/>
          <w:color w:val="auto"/>
          <w:sz w:val="24"/>
          <w:highlight w:val="none"/>
        </w:rPr>
        <w:t xml:space="preserve">投标</w:t>
      </w:r>
      <w:r>
        <w:rPr>
          <w:rFonts w:hint="eastAsia" w:ascii="宋体" w:hAnsi="宋体" w:cs="宋体"/>
          <w:color w:val="auto"/>
          <w:sz w:val="24"/>
          <w:highlight w:val="none"/>
          <w:lang w:val="zh-CN"/>
        </w:rPr>
        <w:t xml:space="preserve">承诺/服务承诺；</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（4）</w:t>
      </w:r>
      <w:r>
        <w:rPr>
          <w:rFonts w:hint="eastAsia" w:ascii="宋体" w:hAnsi="宋体" w:cs="宋体"/>
          <w:color w:val="auto"/>
          <w:sz w:val="24"/>
          <w:highlight w:val="none"/>
        </w:rPr>
        <w:t xml:space="preserve">中标</w:t>
      </w:r>
      <w:r>
        <w:rPr>
          <w:rFonts w:hint="eastAsia" w:ascii="宋体" w:hAnsi="宋体" w:cs="宋体"/>
          <w:color w:val="auto"/>
          <w:sz w:val="24"/>
          <w:highlight w:val="none"/>
          <w:lang w:val="zh-CN"/>
        </w:rPr>
        <w:t xml:space="preserve">通知书；</w:t>
      </w:r>
      <w:r/>
    </w:p>
    <w:p>
      <w:pPr>
        <w:ind w:firstLine="480"/>
        <w:spacing w:line="360" w:lineRule="auto"/>
        <w:tabs>
          <w:tab w:val="left" w:pos="3990" w:leader="none"/>
        </w:tabs>
        <w:rPr>
          <w:rFonts w:ascii="宋体" w:hAnsi="宋体" w:cs="宋体"/>
          <w:color w:val="auto"/>
          <w:sz w:val="24"/>
          <w:highlight w:val="none"/>
        </w:rPr>
      </w:pPr>
      <w:r>
        <w:rPr>
          <w:rFonts w:hint="eastAsia" w:ascii="宋体" w:hAnsi="宋体" w:cs="宋体"/>
          <w:color w:val="auto"/>
          <w:sz w:val="24"/>
          <w:highlight w:val="none"/>
          <w:lang w:val="zh-CN"/>
        </w:rPr>
        <w:t xml:space="preserve">（5）甲乙双方商定的其他文件等。</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三．合作内容  </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1、乙方向甲方患者提供临床检验服务，尽力满足甲方临床医生及技术人员的检验需求，协助甲方不断增强医疗服务水平和能力、扩大医疗服务范围、提高专业水平。</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2、乙方向甲方提供检验过程中产生的原始数据，满足甲方科研人员为提高医疗服务水平开展科学研究的需求。</w:t>
      </w:r>
      <w:r/>
    </w:p>
    <w:p>
      <w:pPr>
        <w:ind w:firstLine="480"/>
        <w:spacing w:line="360" w:lineRule="auto"/>
        <w:tabs>
          <w:tab w:val="left" w:pos="4115" w:leader="none"/>
        </w:tabs>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、双方根据需要，不定期地进行专业信息交流。交流的方式可以是：专题学术讲座和研讨会、资源共享等。</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四．检验项目 </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遗传病基因检测。</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五．服务流程</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1、乙方向甲方提供服务的流程具体包括：样本收取、报告和其他凭证的交接；</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2、乙方向甲方提供服务的流程在乙方的《标本采集手册》中详细规定。乙方的《标本采集手册》作为本协议的附件。</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六．违约责任</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1、甲方的责任和义务</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（1）甲方有义务为乙方检测取样提供便利条件。</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（2）甲方对乙方提供的检测服务内容和服务质量具有监管权利。</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2、乙方的责任和义务</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（1）乙方应严格按照相关标准开展各项工作，保证测试数据的公正性、科学性、准确性、可追溯性。</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（2）乙方检测时使用的设备必须在检定合格有效期内，环境符合标准检测要求。</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（3）乙方负责提供标本运送所需的包装材料，并按照标本运输保存要求运输标本。由乙方运送保存不当造成的标本丢失、破损，乙方负全部责任。</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（4）乙方保证检验过程中的质量控制。由于检验过程的失控而造成的检验失败由乙方负全部责任。</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（5）乙方签发的检验报告只对被检测的标本负责，乙方保证检验报告的及时性、准确性和私密性。</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（6）乙方根据行业标准保留检验后的标本以备复检。由于标本量不够导致无法复检的，乙方不负责复检。标本保存期</w:t>
      </w:r>
      <w:r>
        <w:rPr>
          <w:rFonts w:hint="eastAsia" w:cs="宋体" w:asciiTheme="minorEastAsia" w:hAnsiTheme="minorEastAsia" w:eastAsiaTheme="minorEastAsia"/>
          <w:color w:val="auto"/>
          <w:sz w:val="24"/>
          <w:highlight w:val="none"/>
        </w:rPr>
        <w:t xml:space="preserve">30</w:t>
      </w:r>
      <w:r>
        <w:rPr>
          <w:rFonts w:hint="eastAsia" w:ascii="宋体" w:hAnsi="宋体" w:cs="宋体"/>
          <w:color w:val="auto"/>
          <w:sz w:val="24"/>
          <w:highlight w:val="none"/>
        </w:rPr>
        <w:t xml:space="preserve">天，检测报告保存期为</w:t>
      </w:r>
      <w:r>
        <w:rPr>
          <w:rFonts w:hint="eastAsia" w:cs="宋体" w:asciiTheme="minorEastAsia" w:hAnsiTheme="minorEastAsia" w:eastAsiaTheme="minorEastAsia"/>
          <w:color w:val="auto"/>
          <w:sz w:val="24"/>
          <w:highlight w:val="none"/>
        </w:rPr>
        <w:t xml:space="preserve">10</w:t>
      </w:r>
      <w:r>
        <w:rPr>
          <w:rFonts w:hint="eastAsia" w:ascii="宋体" w:hAnsi="宋体" w:cs="宋体"/>
          <w:color w:val="auto"/>
          <w:sz w:val="24"/>
          <w:highlight w:val="none"/>
        </w:rPr>
        <w:t xml:space="preserve">年。</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（7）乙方仅对来样负责。乙方必须按照甲方委托书要求内容进行测试，出具检测报告。报告内容必须真实、准确，保证与所测试的原始数据一致。</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（8）乙方对甲方提供的相关检测信息确认无误后，应在承诺的检测周期内出具准确可靠的检测报告，乙方对出具的检测报告负全部责任。如有特殊情况不能在周期内出具报告，应及时告知甲方。</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（9）检验结果的信息化，乙方应根据甲方的需求具体落实并承担因此而发生的费用。</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七．检测结果的解读和应用  </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1、乙方专业的技术人员负责向甲方解释各个报告结果；乙方不负责向被检测者解释报告。</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2、甲方负责对患者的各个检测结果进行综合判读，将结果应用于临床。甲方负责向被检测者解释报告。</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3、乙方检测报告供临床参考，并非诊断意见，最终诊断需临床医师结合被检测者的临床症状及其他检查结果作出判定。</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八．服务收费</w:t>
      </w:r>
      <w:r/>
    </w:p>
    <w:p>
      <w:pPr>
        <w:ind w:firstLine="480"/>
        <w:spacing w:line="360" w:lineRule="auto"/>
        <w:tabs>
          <w:tab w:val="left" w:pos="411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1、乙方承担完成本项目所发生的费用包括但不限于检测试剂、检测服务、运输、人员费用、工资、节假日加班费用、管理费用、装备费用、税费、国家强制缴纳的各种社会保障资金等所有费用，以及乙方认为需要的其他费用等。</w:t>
      </w:r>
      <w:r/>
    </w:p>
    <w:p>
      <w:pPr>
        <w:ind w:firstLine="480"/>
        <w:spacing w:line="360" w:lineRule="auto"/>
        <w:tabs>
          <w:tab w:val="left" w:pos="411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2、乙方收取的费用：</w:t>
      </w:r>
      <w:r>
        <w:rPr>
          <w:rFonts w:hint="eastAsia" w:ascii="宋体" w:hAnsi="宋体" w:eastAsia="宋体" w:cs="宋体"/>
          <w:color w:val="auto"/>
          <w:sz w:val="24"/>
          <w:highlight w:val="none"/>
          <w:lang w:val="zh-CN"/>
        </w:rPr>
        <w:t xml:space="preserve">按照附件一和附件二约定的检测种类及价格收取服务费用</w:t>
      </w:r>
      <w:r>
        <w:rPr>
          <w:rFonts w:hint="eastAsia" w:ascii="宋体" w:hAnsi="宋体" w:cs="宋体"/>
          <w:color w:val="auto"/>
          <w:sz w:val="24"/>
          <w:highlight w:val="none"/>
          <w:lang w:val="zh-CN"/>
        </w:rPr>
        <w:t xml:space="preserve">。</w:t>
      </w:r>
      <w:r/>
    </w:p>
    <w:p>
      <w:pPr>
        <w:ind w:firstLine="480"/>
        <w:spacing w:line="360" w:lineRule="auto"/>
        <w:tabs>
          <w:tab w:val="left" w:pos="4115" w:leader="none"/>
        </w:tabs>
        <w:rPr>
          <w:rFonts w:hint="eastAsia" w:ascii="宋体" w:hAnsi="宋体" w:eastAsia="宋体" w:cs="宋体"/>
          <w:color w:val="auto"/>
          <w:sz w:val="24"/>
          <w:highlight w:val="none"/>
          <w:lang w:val="zh-CN"/>
        </w:rPr>
      </w:pPr>
      <w:r>
        <w:rPr>
          <w:rFonts w:hint="eastAsia" w:ascii="宋体" w:hAnsi="宋体" w:cs="宋体"/>
          <w:b/>
          <w:color w:val="auto"/>
          <w:sz w:val="24"/>
          <w:highlight w:val="none"/>
        </w:rPr>
        <w:t xml:space="preserve">九．支付方式</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检测费用按月结算，以上一个月外送标本及报告交接登记的签收记录为准。双方核实数量后，按中标单价根据合同条款按实结算。中标方开具正规发票，采购人按医院支付流程付款。</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十、保密义务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作期内及以后，协议内容及双方相关资料（包括但不限于各类数据、检测报告、价格、商业信息）均为保密资料，除非保密资料已通过正当途径为公众所知，或除非由拥有资料一方事先书面授权透露，双方均应各自对保密资料保密，不得向除对方以外的任何其他方透露，也不得将保密资料用于与本协议条款和条件不相符合的任何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2、双方只能向因职责所需而需要了解上述保密资料的工作人员透露保密资料，且该工作人员经双方协商授权确定，并应采取所有合理的防范措施防止不经授权的披露。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3、双方保证对受检者所有信息保密，除非该信息已经由受检者主动公开。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4、本协议规定的保密义务在协议终止后，直至相关资料依法成为公开信息前一直持续有效。</w:t>
      </w:r>
      <w:r/>
    </w:p>
    <w:p>
      <w:pPr>
        <w:ind w:firstLine="480"/>
        <w:spacing w:line="360" w:lineRule="auto"/>
        <w:tabs>
          <w:tab w:val="left" w:pos="4115" w:leader="none"/>
        </w:tabs>
        <w:rPr>
          <w:rFonts w:ascii="宋体" w:hAnsi="宋体" w:cs="宋体"/>
          <w:b/>
          <w:color w:val="auto"/>
          <w:sz w:val="24"/>
          <w:highlight w:val="none"/>
        </w:rPr>
      </w:pPr>
      <w:r>
        <w:rPr>
          <w:rFonts w:hint="eastAsia" w:ascii="宋体" w:hAnsi="宋体" w:cs="宋体"/>
          <w:b/>
          <w:color w:val="auto"/>
          <w:sz w:val="24"/>
          <w:highlight w:val="none"/>
        </w:rPr>
        <w:t xml:space="preserve">十一．其他</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bCs/>
          <w:color w:val="auto"/>
          <w:sz w:val="24"/>
          <w:highlight w:val="none"/>
        </w:rPr>
        <w:t xml:space="preserve">1、</w:t>
      </w:r>
      <w:r>
        <w:rPr>
          <w:rFonts w:hint="eastAsia" w:ascii="宋体" w:hAnsi="宋体" w:cs="宋体"/>
          <w:color w:val="auto"/>
          <w:sz w:val="24"/>
          <w:highlight w:val="none"/>
        </w:rPr>
        <w:t xml:space="preserve">本协议经双方签字盖章后生效，合作期限自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日始至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p>
    <w:p>
      <w:pPr>
        <w:ind w:firstLine="480"/>
        <w:spacing w:line="360" w:lineRule="auto"/>
        <w:tabs>
          <w:tab w:val="left" w:pos="4115" w:leader="none"/>
        </w:tabs>
        <w:rPr>
          <w:rFonts w:ascii="宋体" w:hAnsi="宋体" w:cs="宋体"/>
          <w:color w:val="auto"/>
          <w:sz w:val="24"/>
          <w:highlight w:val="none"/>
        </w:rPr>
      </w:pPr>
      <w:r>
        <w:rPr>
          <w:rFonts w:hint="eastAsia" w:ascii="宋体" w:hAnsi="宋体" w:cs="宋体"/>
          <w:color w:val="auto"/>
          <w:sz w:val="24"/>
          <w:highlight w:val="none"/>
        </w:rPr>
        <w:t xml:space="preserve">2、本协议自双方签字盖章后生效，未经对方同意，不得单方擅自修改。</w:t>
      </w:r>
      <w:r/>
    </w:p>
    <w:p>
      <w:pPr>
        <w:ind w:firstLine="480"/>
        <w:spacing w:line="360" w:lineRule="auto"/>
        <w:tabs>
          <w:tab w:val="left" w:pos="4115" w:leader="none"/>
        </w:tabs>
        <w:rPr>
          <w:rFonts w:ascii="宋体" w:hAnsi="宋体" w:cs="宋体"/>
          <w:b/>
          <w:color w:val="auto"/>
          <w:sz w:val="24"/>
          <w:highlight w:val="none"/>
        </w:rPr>
      </w:pPr>
      <w:r>
        <w:rPr>
          <w:rFonts w:hint="eastAsia" w:ascii="宋体" w:hAnsi="宋体" w:cs="宋体"/>
          <w:color w:val="auto"/>
          <w:sz w:val="24"/>
          <w:highlight w:val="none"/>
        </w:rPr>
        <w:t xml:space="preserve">3、本协议一式</w:t>
      </w:r>
      <w:r>
        <w:rPr>
          <w:rFonts w:hint="eastAsia" w:ascii="宋体" w:hAnsi="宋体" w:eastAsia="宋体" w:cs="宋体"/>
          <w:color w:val="auto"/>
          <w:sz w:val="24"/>
          <w:highlight w:val="none"/>
        </w:rPr>
        <w:t xml:space="preserve">伍</w:t>
      </w:r>
      <w:r>
        <w:rPr>
          <w:rFonts w:hint="eastAsia" w:ascii="宋体" w:hAnsi="宋体" w:cs="宋体"/>
          <w:color w:val="auto"/>
          <w:sz w:val="24"/>
          <w:highlight w:val="none"/>
        </w:rPr>
        <w:t xml:space="preserve">份，甲方执贰份，乙方执贰份，代理机构壹份。</w:t>
      </w:r>
      <w:r>
        <w:rPr>
          <w:rFonts w:hint="eastAsia" w:ascii="宋体" w:hAnsi="宋体" w:eastAsia="宋体" w:cs="宋体"/>
          <w:color w:val="auto"/>
          <w:sz w:val="24"/>
          <w:highlight w:val="none"/>
          <w:lang w:eastAsia="zh-CN"/>
        </w:rPr>
        <w:t xml:space="preserve">具有</w:t>
      </w:r>
      <w:r>
        <w:rPr>
          <w:rFonts w:hint="eastAsia" w:ascii="宋体" w:hAnsi="宋体" w:cs="宋体"/>
          <w:color w:val="auto"/>
          <w:sz w:val="24"/>
          <w:highlight w:val="none"/>
        </w:rPr>
        <w:t xml:space="preserve">同等法律效力。有关未尽事宜，另行签订协议补充，补充协议与本协议</w:t>
      </w:r>
      <w:r>
        <w:rPr>
          <w:rFonts w:hint="eastAsia" w:ascii="宋体" w:hAnsi="宋体" w:eastAsia="宋体" w:cs="宋体"/>
          <w:color w:val="auto"/>
          <w:sz w:val="24"/>
          <w:highlight w:val="none"/>
          <w:lang w:eastAsia="zh-CN"/>
        </w:rPr>
        <w:t xml:space="preserve">具有</w:t>
      </w:r>
      <w:r>
        <w:rPr>
          <w:rFonts w:hint="eastAsia" w:ascii="宋体" w:hAnsi="宋体" w:cs="宋体"/>
          <w:color w:val="auto"/>
          <w:sz w:val="24"/>
          <w:highlight w:val="none"/>
        </w:rPr>
        <w:t xml:space="preserve">同等法律效力。因履行本协议而产生的纠纷，双方协商解决，协商不成的，双方同意向甲方所在地法院起诉。</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甲方（盖章）：                        乙方（盖章）：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法人代表（委托人）：                  法人代表（委托人）：</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合同经办人：                          合同经办人：</w:t>
      </w:r>
      <w:r/>
    </w:p>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签订日期：  年    月    日            签订日期：    年    月    日</w:t>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widowControl/>
        <w:tabs>
          <w:tab w:val="left" w:pos="900" w:leader="none"/>
        </w:tabs>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jc w:val="lef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附件一</w:t>
      </w:r>
      <w:r/>
    </w:p>
    <w:p>
      <w:pPr>
        <w:jc w:val="center"/>
        <w:spacing w:line="360" w:lineRule="auto"/>
        <w:rPr>
          <w:rFonts w:ascii="黑体" w:eastAsia="黑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23"/>
        <w:tblW w:w="9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03"/>
        <w:gridCol w:w="2340"/>
        <w:gridCol w:w="4775"/>
        <w:gridCol w:w="1933"/>
      </w:tblGrid>
      <w:tr>
        <w:trPr>
          <w:cantSplit/>
          <w:jc w:val="center"/>
          <w:trHeight w:val="717"/>
        </w:trPr>
        <w:tc>
          <w:tcPr>
            <w:tcMar>
              <w:left w:w="15" w:type="dxa"/>
              <w:top w:w="15" w:type="dxa"/>
              <w:right w:w="15" w:type="dxa"/>
              <w:bottom w:w="0" w:type="dxa"/>
            </w:tcMar>
            <w:tcW w:w="503" w:type="dxa"/>
            <w:vAlign w:val="center"/>
            <w:textDirection w:val="lrTb"/>
            <w:noWrap w:val="false"/>
          </w:tcPr>
          <w:p>
            <w:pPr>
              <w:pStyle w:val="1121"/>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eastAsia="zh-CN"/>
              </w:rPr>
              <w:t xml:space="preserve">1</w:t>
            </w:r>
            <w:r/>
          </w:p>
        </w:tc>
        <w:tc>
          <w:tcPr>
            <w:tcMar>
              <w:left w:w="15" w:type="dxa"/>
              <w:top w:w="15" w:type="dxa"/>
              <w:right w:w="15" w:type="dxa"/>
              <w:bottom w:w="0" w:type="dxa"/>
            </w:tcMar>
            <w:tcW w:w="2340"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全外显子组测序单人（元/次）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黑体" w:hAnsi="宋体" w:eastAsia="黑体"/>
                <w:b/>
                <w:color w:val="auto"/>
                <w:sz w:val="24"/>
                <w:szCs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jc w:val="center"/>
          <w:trHeight w:val="898"/>
        </w:trPr>
        <w:tc>
          <w:tcPr>
            <w:tcMar>
              <w:left w:w="15" w:type="dxa"/>
              <w:top w:w="15" w:type="dxa"/>
              <w:right w:w="15" w:type="dxa"/>
              <w:bottom w:w="0" w:type="dxa"/>
            </w:tcMar>
            <w:tcW w:w="503" w:type="dxa"/>
            <w:vAlign w:val="center"/>
            <w:textDirection w:val="lrTb"/>
            <w:noWrap w:val="false"/>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2340"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全外显子组测序家系（元/次）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黑体" w:hAnsi="宋体" w:eastAsia="黑体"/>
                <w:b/>
                <w:color w:val="auto"/>
                <w:sz w:val="24"/>
                <w:szCs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923"/>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3</w:t>
            </w:r>
            <w:r/>
          </w:p>
        </w:tc>
        <w:tc>
          <w:tcPr>
            <w:tcMar>
              <w:left w:w="15" w:type="dxa"/>
              <w:top w:w="15" w:type="dxa"/>
              <w:right w:w="15" w:type="dxa"/>
              <w:bottom w:w="0" w:type="dxa"/>
            </w:tcMar>
            <w:tcW w:w="2340"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全基因组测序单人（元/次）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黑体" w:hAnsi="宋体" w:eastAsia="黑体"/>
                <w:b/>
                <w:color w:val="auto"/>
                <w:sz w:val="24"/>
                <w:szCs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98"/>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4</w:t>
            </w:r>
            <w:r/>
          </w:p>
        </w:tc>
        <w:tc>
          <w:tcPr>
            <w:tcMar>
              <w:left w:w="15" w:type="dxa"/>
              <w:top w:w="15" w:type="dxa"/>
              <w:right w:w="15" w:type="dxa"/>
              <w:bottom w:w="0" w:type="dxa"/>
            </w:tcMar>
            <w:tcW w:w="2340"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全基因组测序家系（元/次）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71"/>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5</w:t>
            </w:r>
            <w:r/>
          </w:p>
        </w:tc>
        <w:tc>
          <w:tcPr>
            <w:tcMar>
              <w:left w:w="15" w:type="dxa"/>
              <w:top w:w="15" w:type="dxa"/>
              <w:right w:w="15" w:type="dxa"/>
              <w:bottom w:w="0" w:type="dxa"/>
            </w:tcMar>
            <w:tcW w:w="2340" w:type="dxa"/>
            <w:vAlign w:val="center"/>
            <w:textDirection w:val="lrTb"/>
            <w:noWrap w:val="false"/>
          </w:tcPr>
          <w:p>
            <w:pPr>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一代测序（元/位点）</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jc w:val="left"/>
              <w:spacing w:line="360" w:lineRule="auto"/>
              <w:rPr>
                <w:rFonts w:hint="eastAsia" w:ascii="黑体" w:hAnsi="宋体" w:eastAsia="黑体"/>
                <w:b/>
                <w:bCs/>
                <w:color w:val="auto"/>
                <w:sz w:val="24"/>
                <w:szCs w:val="24"/>
                <w:highlight w:val="none"/>
              </w:rPr>
            </w:pPr>
            <w:r>
              <w:rPr>
                <w:rFonts w:hint="eastAsia" w:ascii="宋体" w:hAnsi="宋体" w:cs="宋体"/>
                <w:color w:val="auto"/>
                <w:sz w:val="24"/>
                <w:highlight w:val="none"/>
              </w:rPr>
              <w:t xml:space="preserve">大写：</w:t>
            </w:r>
            <w:r/>
          </w:p>
        </w:tc>
        <w:tc>
          <w:tcPr>
            <w:tcW w:w="1933" w:type="dxa"/>
            <w:vAlign w:val="center"/>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871"/>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6</w:t>
            </w:r>
            <w:r/>
          </w:p>
        </w:tc>
        <w:tc>
          <w:tcPr>
            <w:tcMar>
              <w:left w:w="15" w:type="dxa"/>
              <w:top w:w="15" w:type="dxa"/>
              <w:right w:w="15" w:type="dxa"/>
              <w:bottom w:w="0" w:type="dxa"/>
            </w:tcMar>
            <w:tcW w:w="2340" w:type="dxa"/>
            <w:vAlign w:val="center"/>
            <w:textDirection w:val="lrTb"/>
            <w:noWrap w:val="false"/>
          </w:tcPr>
          <w:p>
            <w:pPr>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MLPA/MS-MPLA（元/次）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71"/>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7</w:t>
            </w:r>
            <w:r/>
          </w:p>
        </w:tc>
        <w:tc>
          <w:tcPr>
            <w:tcMar>
              <w:left w:w="15" w:type="dxa"/>
              <w:top w:w="15" w:type="dxa"/>
              <w:right w:w="15" w:type="dxa"/>
              <w:bottom w:w="0" w:type="dxa"/>
            </w:tcMar>
            <w:tcW w:w="2340" w:type="dxa"/>
            <w:vAlign w:val="center"/>
            <w:textDirection w:val="lrTb"/>
            <w:noWrap w:val="false"/>
          </w:tcPr>
          <w:p>
            <w:pPr>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CNV-seq（元/次）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71"/>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8</w:t>
            </w:r>
            <w:r/>
          </w:p>
        </w:tc>
        <w:tc>
          <w:tcPr>
            <w:tcMar>
              <w:left w:w="15" w:type="dxa"/>
              <w:top w:w="15" w:type="dxa"/>
              <w:right w:w="15" w:type="dxa"/>
              <w:bottom w:w="0" w:type="dxa"/>
            </w:tcMar>
            <w:tcW w:w="2340" w:type="dxa"/>
            <w:vAlign w:val="center"/>
            <w:textDirection w:val="lrTb"/>
            <w:noWrap w:val="false"/>
          </w:tcPr>
          <w:p>
            <w:pPr>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动态突变（元/位点）</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71"/>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9</w:t>
            </w:r>
            <w:r/>
          </w:p>
        </w:tc>
        <w:tc>
          <w:tcPr>
            <w:tcMar>
              <w:left w:w="15" w:type="dxa"/>
              <w:top w:w="15" w:type="dxa"/>
              <w:right w:w="15" w:type="dxa"/>
              <w:bottom w:w="0" w:type="dxa"/>
            </w:tcMar>
            <w:tcW w:w="2340" w:type="dxa"/>
            <w:vAlign w:val="center"/>
            <w:textDirection w:val="lrTb"/>
            <w:noWrap w:val="false"/>
          </w:tcPr>
          <w:p>
            <w:pPr>
              <w:jc w:val="center"/>
              <w:spacing w:line="360" w:lineRule="auto"/>
              <w:rPr>
                <w:rFonts w:hint="eastAsia" w:ascii="宋体" w:hAnsi="宋体" w:eastAsia="宋体" w:cs="宋体"/>
                <w:bCs/>
                <w:color w:val="auto"/>
                <w:sz w:val="24"/>
                <w:szCs w:val="20"/>
                <w:highlight w:val="none"/>
              </w:rPr>
            </w:pPr>
            <w:r>
              <w:rPr>
                <w:rFonts w:hint="eastAsia" w:ascii="宋体" w:hAnsi="宋体" w:eastAsia="宋体" w:cs="宋体"/>
                <w:color w:val="auto"/>
                <w:sz w:val="24"/>
                <w:highlight w:val="none"/>
              </w:rPr>
              <w:t xml:space="preserve">特殊遗传病检测项目</w:t>
            </w:r>
            <w:r>
              <w:rPr>
                <w:rFonts w:hint="eastAsia" w:ascii="宋体" w:hAnsi="宋体" w:eastAsia="宋体" w:cs="宋体"/>
                <w:bCs/>
                <w:color w:val="auto"/>
                <w:sz w:val="24"/>
                <w:szCs w:val="20"/>
                <w:highlight w:val="none"/>
              </w:rPr>
              <w:t xml:space="preserve">（元/次）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lef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附件二</w:t>
      </w:r>
      <w:r/>
    </w:p>
    <w:p>
      <w:pPr>
        <w:pStyle w:val="724"/>
        <w:jc w:val="center"/>
        <w:rPr>
          <w:rFonts w:ascii="宋体" w:hAnsi="宋体" w:eastAsia="楷体_GB2312" w:cs="宋体"/>
          <w:b/>
          <w:color w:val="auto"/>
          <w:sz w:val="32"/>
          <w:szCs w:val="32"/>
          <w:highlight w:val="none"/>
        </w:rPr>
      </w:pPr>
      <w:r>
        <w:rPr>
          <w:rFonts w:hint="eastAsia" w:ascii="宋体" w:hAnsi="宋体" w:cs="宋体"/>
          <w:b/>
          <w:color w:val="auto"/>
          <w:sz w:val="32"/>
          <w:szCs w:val="32"/>
          <w:highlight w:val="none"/>
        </w:rPr>
        <w:t xml:space="preserve">其他遗传检测项目表</w:t>
      </w:r>
      <w:r/>
    </w:p>
    <w:tbl>
      <w:tblPr>
        <w:tblStyle w:val="723"/>
        <w:tblpPr w:horzAnchor="page" w:tblpX="1387" w:vertAnchor="text" w:tblpY="639"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216"/>
        <w:gridCol w:w="3086"/>
        <w:gridCol w:w="2139"/>
        <w:gridCol w:w="2843"/>
      </w:tblGrid>
      <w:tr>
        <w:trPr>
          <w:trHeight w:val="1112"/>
        </w:trPr>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检测项</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报价（元/次）</w:t>
            </w:r>
            <w:r/>
          </w:p>
        </w:tc>
        <w:tc>
          <w:tcPr>
            <w:tcBorders>
              <w:top w:val="single" w:color="auto" w:sz="4" w:space="0"/>
              <w:left w:val="none" w:color="000000" w:sz="4" w:space="0"/>
              <w:bottom w:val="single" w:color="auto" w:sz="4" w:space="0"/>
              <w:right w:val="single" w:color="auto" w:sz="4" w:space="0"/>
            </w:tcBorders>
            <w:tcW w:w="153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723"/>
        </w:trPr>
        <w:tc>
          <w:tcPr>
            <w:tcBorders>
              <w:top w:val="none" w:color="000000"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5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right w:val="single" w:color="auto" w:sz="4" w:space="0"/>
            </w:tcBorders>
            <w:tcW w:w="1531" w:type="pct"/>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8"/>
        </w:trPr>
        <w:tc>
          <w:tcPr>
            <w:tcBorders>
              <w:top w:val="none" w:color="000000"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5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none" w:color="000000" w:sz="4" w:space="0"/>
              <w:right w:val="single" w:color="auto" w:sz="4" w:space="0"/>
            </w:tcBorders>
            <w:tcW w:w="1531" w:type="pct"/>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8"/>
        </w:trPr>
        <w:tc>
          <w:tcPr>
            <w:tcBorders>
              <w:top w:val="none" w:color="000000"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5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none" w:color="000000" w:sz="4" w:space="0"/>
              <w:right w:val="single" w:color="auto" w:sz="4" w:space="0"/>
            </w:tcBorders>
            <w:tcW w:w="1531" w:type="pct"/>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8"/>
        </w:trPr>
        <w:tc>
          <w:tcPr>
            <w:tcBorders>
              <w:top w:val="none" w:color="000000"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5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none" w:color="000000" w:sz="4" w:space="0"/>
              <w:right w:val="single" w:color="auto" w:sz="4" w:space="0"/>
            </w:tcBorders>
            <w:tcW w:w="1531" w:type="pct"/>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8"/>
        </w:trPr>
        <w:tc>
          <w:tcPr>
            <w:tcBorders>
              <w:top w:val="none" w:color="000000"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5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none" w:color="000000" w:sz="4" w:space="0"/>
              <w:right w:val="single" w:color="auto" w:sz="4" w:space="0"/>
            </w:tcBorders>
            <w:tcW w:w="1531" w:type="pct"/>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8"/>
        </w:trPr>
        <w:tc>
          <w:tcPr>
            <w:tcBorders>
              <w:top w:val="none" w:color="000000"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single" w:color="auto" w:sz="4" w:space="0"/>
              <w:bottom w:val="single" w:color="auto" w:sz="4" w:space="0"/>
              <w:right w:val="single" w:color="auto" w:sz="4" w:space="0"/>
            </w:tcBorders>
            <w:tcW w:w="115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none" w:color="000000" w:sz="4" w:space="0"/>
              <w:bottom w:val="single" w:color="auto" w:sz="4" w:space="0"/>
              <w:right w:val="single" w:color="auto" w:sz="4" w:space="0"/>
            </w:tcBorders>
            <w:tcW w:w="1531" w:type="pct"/>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ind w:firstLine="480"/>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w:t>
      </w:r>
      <w:bookmarkEnd w:id="137"/>
      <w:r>
        <w:rPr>
          <w:rFonts w:hint="eastAsia" w:ascii="宋体" w:hAnsi="宋体" w:eastAsia="宋体" w:cs="宋体"/>
          <w:b/>
          <w:color w:val="auto"/>
          <w:sz w:val="36"/>
          <w:szCs w:val="36"/>
          <w:highlight w:val="none"/>
        </w:rPr>
        <w:t xml:space="preserve">四章 采购需求</w:t>
      </w:r>
      <w:bookmarkEnd w:id="138"/>
      <w:r/>
      <w:bookmarkEnd w:id="139"/>
      <w:r/>
      <w:bookmarkEnd w:id="140"/>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bookmarkStart w:id="141" w:name="_Toc26554093"/>
      <w:r/>
      <w:bookmarkStart w:id="142" w:name="_Toc49090575"/>
      <w:r/>
      <w:bookmarkStart w:id="143" w:name="_Toc120614281"/>
      <w:r>
        <w:rPr>
          <w:rFonts w:hint="eastAsia" w:ascii="宋体" w:hAnsi="宋体" w:eastAsia="宋体" w:cs="宋体"/>
          <w:b/>
          <w:color w:val="auto"/>
          <w:sz w:val="30"/>
          <w:szCs w:val="30"/>
          <w:highlight w:val="none"/>
        </w:rPr>
        <w:t xml:space="preserve">第一部分  项目需求</w:t>
      </w:r>
      <w:r/>
    </w:p>
    <w:p>
      <w:pPr>
        <w:pStyle w:val="904"/>
        <w:ind w:firstLine="0"/>
        <w:spacing w:line="360" w:lineRule="auto"/>
        <w:rPr>
          <w:rFonts w:ascii="Arial" w:hAnsi="Arial"/>
          <w:b/>
          <w:color w:val="auto"/>
          <w:sz w:val="24"/>
          <w:highlight w:val="none"/>
        </w:rPr>
      </w:pPr>
      <w:r>
        <w:rPr>
          <w:rFonts w:hint="eastAsia" w:ascii="宋体" w:hAnsi="宋体" w:cs="宋体"/>
          <w:bCs/>
          <w:color w:val="auto"/>
          <w:sz w:val="24"/>
          <w:highlight w:val="none"/>
        </w:rPr>
        <w:t xml:space="preserve">一、 </w:t>
      </w:r>
      <w:r>
        <w:rPr>
          <w:rFonts w:hint="eastAsia" w:ascii="Arial" w:hAnsi="Arial"/>
          <w:b/>
          <w:color w:val="auto"/>
          <w:sz w:val="24"/>
          <w:highlight w:val="none"/>
        </w:rPr>
        <w:t xml:space="preserve">测序平台要求</w:t>
      </w:r>
      <w:r/>
    </w:p>
    <w:p>
      <w:pPr>
        <w:ind w:firstLine="480"/>
        <w:jc w:val="left"/>
        <w:spacing w:line="360" w:lineRule="auto"/>
        <w:widowControl/>
        <w:rPr>
          <w:rFonts w:eastAsia="宋体"/>
          <w:color w:val="auto"/>
          <w:highlight w:val="none"/>
        </w:rPr>
      </w:pP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1、</w:t>
      </w:r>
      <w:r>
        <w:rPr>
          <w:rFonts w:hint="eastAsia" w:ascii="宋体" w:hAnsi="宋体" w:eastAsia="宋体"/>
          <w:color w:val="auto"/>
          <w:sz w:val="24"/>
          <w:highlight w:val="none"/>
        </w:rPr>
        <w:t xml:space="preserve">投标单位需</w:t>
      </w:r>
      <w:r>
        <w:rPr>
          <w:rFonts w:ascii="宋体" w:hAnsi="宋体" w:eastAsia="宋体"/>
          <w:color w:val="auto"/>
          <w:sz w:val="24"/>
          <w:highlight w:val="none"/>
        </w:rPr>
        <w:t xml:space="preserve">拥有</w:t>
      </w:r>
      <w:r>
        <w:rPr>
          <w:rFonts w:hint="eastAsia" w:ascii="宋体" w:hAnsi="宋体" w:eastAsia="宋体"/>
          <w:color w:val="auto"/>
          <w:sz w:val="24"/>
          <w:highlight w:val="none"/>
        </w:rPr>
        <w:t xml:space="preserve">高通量测序平台（</w:t>
      </w:r>
      <w:r>
        <w:rPr>
          <w:rFonts w:hint="eastAsia" w:ascii="宋体" w:hAnsi="宋体" w:eastAsia="宋体" w:cs="宋体"/>
          <w:color w:val="auto"/>
          <w:sz w:val="24"/>
          <w:highlight w:val="none"/>
        </w:rPr>
        <w:t xml:space="preserve">具有NMPA注册证</w:t>
      </w:r>
      <w:r>
        <w:rPr>
          <w:rFonts w:hint="eastAsia" w:ascii="宋体" w:hAnsi="宋体" w:eastAsia="宋体"/>
          <w:color w:val="auto"/>
          <w:sz w:val="24"/>
          <w:highlight w:val="none"/>
        </w:rPr>
        <w:t xml:space="preserve">）进行测序。</w:t>
      </w:r>
      <w:r>
        <w:rPr>
          <w:rFonts w:hint="eastAsia" w:ascii="宋体" w:hAnsi="宋体" w:eastAsia="宋体" w:cs="宋体"/>
          <w:b/>
          <w:bCs/>
          <w:color w:val="auto"/>
          <w:sz w:val="24"/>
          <w:szCs w:val="24"/>
          <w:highlight w:val="none"/>
          <w:lang w:bidi="ar"/>
        </w:rPr>
        <w:t xml:space="preserve">（</w:t>
      </w:r>
      <w:r>
        <w:rPr>
          <w:rFonts w:hint="eastAsia" w:ascii="宋体" w:hAnsi="宋体" w:cs="宋体"/>
          <w:b/>
          <w:bCs/>
          <w:color w:val="auto"/>
          <w:sz w:val="24"/>
          <w:highlight w:val="none"/>
        </w:rPr>
        <w:t xml:space="preserve">投标供应商需提供相关证明材料）</w:t>
      </w:r>
      <w:r/>
    </w:p>
    <w:p>
      <w:pPr>
        <w:ind w:firstLine="480"/>
        <w:jc w:val="left"/>
        <w:spacing w:line="360" w:lineRule="auto"/>
        <w:widowControl/>
        <w:rPr>
          <w:rFonts w:hint="eastAsia" w:ascii="宋体" w:hAnsi="宋体" w:cs="宋体" w:eastAsiaTheme="minorEastAsia"/>
          <w:b/>
          <w:bCs/>
          <w:color w:val="auto"/>
          <w:sz w:val="24"/>
          <w:highlight w:val="none"/>
        </w:rPr>
      </w:pP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2、投标供应商需拥有一代测序平台以及其他多类型的技术平台，以满足NGS 分析后多种变异类型的验证及特殊项目检测需求，例如 MLPA，Q-PCR 等。</w:t>
      </w:r>
      <w:r>
        <w:rPr>
          <w:rFonts w:hint="eastAsia" w:ascii="宋体" w:hAnsi="宋体" w:eastAsia="宋体" w:cs="宋体"/>
          <w:b/>
          <w:bCs/>
          <w:color w:val="auto"/>
          <w:sz w:val="24"/>
          <w:szCs w:val="24"/>
          <w:highlight w:val="none"/>
          <w:lang w:bidi="ar"/>
        </w:rPr>
        <w:t xml:space="preserve">（</w:t>
      </w:r>
      <w:r>
        <w:rPr>
          <w:rFonts w:hint="eastAsia" w:ascii="宋体" w:hAnsi="宋体" w:cs="宋体"/>
          <w:b/>
          <w:bCs/>
          <w:color w:val="auto"/>
          <w:sz w:val="24"/>
          <w:highlight w:val="none"/>
        </w:rPr>
        <w:t xml:space="preserve">投标供应商需提供相关证明材料）</w:t>
      </w:r>
      <w:r/>
    </w:p>
    <w:p>
      <w:pPr>
        <w:jc w:val="left"/>
        <w:spacing w:line="360" w:lineRule="auto"/>
        <w:widowControl/>
        <w:rPr>
          <w:rFonts w:eastAsiaTheme="minorEastAsia"/>
          <w:b/>
          <w:bCs/>
          <w:color w:val="auto"/>
          <w:highlight w:val="none"/>
        </w:rPr>
      </w:pPr>
      <w:r>
        <w:rPr>
          <w:rFonts w:hint="eastAsia" w:ascii="宋体" w:hAnsi="宋体" w:cs="宋体" w:eastAsiaTheme="minorEastAsia"/>
          <w:b/>
          <w:bCs/>
          <w:color w:val="auto"/>
          <w:sz w:val="24"/>
          <w:highlight w:val="none"/>
        </w:rPr>
        <w:t xml:space="preserve">二</w:t>
      </w:r>
      <w:r>
        <w:rPr>
          <w:rFonts w:hint="eastAsia" w:ascii="宋体" w:hAnsi="宋体" w:cs="宋体"/>
          <w:b/>
          <w:bCs/>
          <w:color w:val="auto"/>
          <w:sz w:val="24"/>
          <w:highlight w:val="none"/>
        </w:rPr>
        <w:t xml:space="preserve">、</w:t>
      </w:r>
      <w:r>
        <w:rPr>
          <w:rFonts w:hint="eastAsia" w:ascii="宋体" w:hAnsi="宋体" w:cs="宋体" w:eastAsiaTheme="minorEastAsia"/>
          <w:b/>
          <w:bCs/>
          <w:color w:val="auto"/>
          <w:sz w:val="24"/>
          <w:highlight w:val="none"/>
        </w:rPr>
        <w:t xml:space="preserve"> </w:t>
      </w:r>
      <w:r>
        <w:rPr>
          <w:rFonts w:hint="eastAsia" w:ascii="宋体" w:hAnsi="宋体" w:eastAsia="宋体" w:cs="宋体"/>
          <w:b/>
          <w:bCs/>
          <w:color w:val="auto"/>
          <w:sz w:val="24"/>
          <w:highlight w:val="none"/>
        </w:rPr>
        <w:t xml:space="preserve">技术需求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1.通用技术需求</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rPr>
        <w:t xml:space="preserve">）采用的技术方法适用样本类型须包含人外周血、组织、</w:t>
      </w:r>
      <w:r>
        <w:rPr>
          <w:rFonts w:hint="eastAsia" w:asciiTheme="minorEastAsia" w:hAnsiTheme="minorEastAsia"/>
          <w:color w:val="auto"/>
          <w:sz w:val="24"/>
          <w:highlight w:val="none"/>
        </w:rPr>
        <w:t xml:space="preserve">口腔拭子、干血片、</w:t>
      </w:r>
      <w:r>
        <w:rPr>
          <w:rFonts w:hint="eastAsia" w:ascii="宋体" w:hAnsi="宋体" w:eastAsia="宋体" w:cs="宋体"/>
          <w:color w:val="auto"/>
          <w:sz w:val="24"/>
          <w:highlight w:val="none"/>
        </w:rPr>
        <w:t xml:space="preserve">gDNA等样本。</w:t>
      </w:r>
      <w:r/>
    </w:p>
    <w:p>
      <w:pPr>
        <w:ind w:firstLine="480"/>
        <w:spacing w:line="360" w:lineRule="auto"/>
        <w:rPr>
          <w:rFonts w:hint="eastAsia" w:ascii="宋体" w:hAnsi="宋体" w:eastAsia="宋体" w:cs="宋体"/>
          <w:color w:val="auto"/>
          <w:sz w:val="24"/>
          <w:highlight w:val="none"/>
        </w:rPr>
      </w:pPr>
      <w:r>
        <w:rPr>
          <w:rFonts w:hint="eastAsia" w:cs="宋体" w:asciiTheme="minorEastAsia" w:hAnsiTheme="minorEastAsia"/>
          <w:color w:val="auto"/>
          <w:sz w:val="24"/>
          <w:highlight w:val="none"/>
        </w:rPr>
        <w:t xml:space="preserve">2</w:t>
      </w:r>
      <w:r>
        <w:rPr>
          <w:rFonts w:hint="eastAsia" w:ascii="宋体" w:hAnsi="宋体" w:eastAsia="宋体" w:cs="宋体"/>
          <w:color w:val="auto"/>
          <w:sz w:val="24"/>
          <w:highlight w:val="none"/>
        </w:rPr>
        <w:t xml:space="preserve">）在先证者样本中经高通量测序技术检测检出的、可解释先证者表型的致病性或可能致病性变异，能提供Sanger测序或qPCR等技术对先证者及其生物学父母提供 ≤3个位点或相应区段的验证。</w:t>
      </w:r>
      <w:r/>
    </w:p>
    <w:p>
      <w:pPr>
        <w:ind w:firstLine="480"/>
        <w:spacing w:line="360" w:lineRule="auto"/>
        <w:rPr>
          <w:rFonts w:hint="eastAsia" w:ascii="宋体" w:hAnsi="宋体" w:eastAsia="宋体" w:cs="宋体"/>
          <w:color w:val="auto"/>
          <w:sz w:val="24"/>
          <w:highlight w:val="none"/>
        </w:rPr>
      </w:pPr>
      <w:r>
        <w:rPr>
          <w:rFonts w:hint="eastAsia" w:cs="宋体" w:asciiTheme="minorEastAsia" w:hAnsiTheme="minorEastAsia"/>
          <w:color w:val="auto"/>
          <w:sz w:val="24"/>
          <w:highlight w:val="none"/>
        </w:rPr>
        <w:t xml:space="preserve">3</w:t>
      </w:r>
      <w:r>
        <w:rPr>
          <w:rFonts w:hint="eastAsia" w:ascii="宋体" w:hAnsi="宋体" w:eastAsia="宋体" w:cs="宋体"/>
          <w:color w:val="auto"/>
          <w:sz w:val="24"/>
          <w:highlight w:val="none"/>
        </w:rPr>
        <w:t xml:space="preserve">）报告及报告审核者要求：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①报告中致病位点需附明确的致病性评级证据项，结果主要针对目前明确与疾病相关或可能与疾病相关的突变；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②可根据医院需求个性化定制检测报告；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w:t>
      </w:r>
      <w:r>
        <w:rPr>
          <w:rFonts w:hint="eastAsia" w:asciiTheme="minorEastAsia" w:hAnsiTheme="minorEastAsia"/>
          <w:color w:val="auto"/>
          <w:sz w:val="24"/>
          <w:highlight w:val="none"/>
        </w:rPr>
        <w:t xml:space="preserve">配置具备遗传学博士学历的项目负责人，团队成员</w:t>
      </w:r>
      <w:r>
        <w:rPr>
          <w:rFonts w:asciiTheme="minorEastAsia" w:hAnsiTheme="minorEastAsia"/>
          <w:color w:val="auto"/>
          <w:sz w:val="24"/>
          <w:highlight w:val="none"/>
        </w:rPr>
        <w:t xml:space="preserve">包括</w:t>
      </w:r>
      <w:r>
        <w:rPr>
          <w:rFonts w:hint="eastAsia" w:asciiTheme="minorEastAsia" w:hAnsiTheme="minorEastAsia"/>
          <w:color w:val="auto"/>
          <w:sz w:val="24"/>
          <w:highlight w:val="none"/>
        </w:rPr>
        <w:t xml:space="preserve">临床医师、检验师、遗传咨询师或国际</w:t>
      </w:r>
      <w:r>
        <w:rPr>
          <w:rFonts w:asciiTheme="minorEastAsia" w:hAnsiTheme="minorEastAsia"/>
          <w:color w:val="auto"/>
          <w:sz w:val="24"/>
          <w:highlight w:val="none"/>
        </w:rPr>
        <w:t xml:space="preserve">遗传咨询专家</w:t>
      </w:r>
      <w:r>
        <w:rPr>
          <w:rFonts w:hint="eastAsia" w:asciiTheme="minorEastAsia" w:hAnsiTheme="minorEastAsia"/>
          <w:color w:val="auto"/>
          <w:sz w:val="24"/>
          <w:highlight w:val="none"/>
        </w:rPr>
        <w:t xml:space="preserve">，</w:t>
      </w:r>
      <w:r>
        <w:rPr>
          <w:rFonts w:hint="eastAsia" w:ascii="宋体" w:hAnsi="宋体" w:eastAsia="宋体" w:cs="宋体"/>
          <w:color w:val="auto"/>
          <w:sz w:val="24"/>
          <w:highlight w:val="none"/>
        </w:rPr>
        <w:t xml:space="preserve">检测报告审核人员具有副高级（副主任医师或副主任技师）及以上职称。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4）投标人提供至少一次重分析服务。疾病－基因数据库定期更新：每2～3个月更新一次，紧跟临床前沿进度，提升检出率。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2.全外显子组测序检测服务技术需求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rPr>
        <w:t xml:space="preserve">）检测范围：一次性检测人类基因组中</w:t>
      </w: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万多个基因上约</w:t>
      </w:r>
      <w:r>
        <w:rPr>
          <w:rFonts w:hint="eastAsia" w:ascii="宋体" w:hAnsi="宋体" w:cs="宋体"/>
          <w:color w:val="auto"/>
          <w:sz w:val="24"/>
          <w:highlight w:val="none"/>
        </w:rPr>
        <w:t xml:space="preserve">18</w:t>
      </w:r>
      <w:r>
        <w:rPr>
          <w:rFonts w:hint="eastAsia" w:ascii="宋体" w:hAnsi="宋体" w:eastAsia="宋体" w:cs="宋体"/>
          <w:color w:val="auto"/>
          <w:sz w:val="24"/>
          <w:highlight w:val="none"/>
        </w:rPr>
        <w:t xml:space="preserve">万个外显子及相邻侧翼序列不低于</w:t>
      </w:r>
      <w:r>
        <w:rPr>
          <w:rFonts w:hint="eastAsia" w:ascii="宋体" w:hAnsi="宋体" w:cs="宋体"/>
          <w:color w:val="auto"/>
          <w:sz w:val="24"/>
          <w:highlight w:val="none"/>
        </w:rPr>
        <w:t xml:space="preserve">20bp</w:t>
      </w:r>
      <w:r>
        <w:rPr>
          <w:rFonts w:hint="eastAsia" w:ascii="宋体" w:hAnsi="宋体" w:eastAsia="宋体" w:cs="宋体"/>
          <w:color w:val="auto"/>
          <w:sz w:val="24"/>
          <w:highlight w:val="none"/>
        </w:rPr>
        <w:t xml:space="preserve">的内含子区中的点变异（</w:t>
      </w:r>
      <w:r>
        <w:rPr>
          <w:rFonts w:hint="eastAsia" w:ascii="宋体" w:hAnsi="宋体" w:cs="宋体"/>
          <w:color w:val="auto"/>
          <w:sz w:val="24"/>
          <w:highlight w:val="none"/>
        </w:rPr>
        <w:t xml:space="preserve">SNV</w:t>
      </w:r>
      <w:r>
        <w:rPr>
          <w:rFonts w:hint="eastAsia" w:ascii="宋体" w:hAnsi="宋体" w:eastAsia="宋体" w:cs="宋体"/>
          <w:color w:val="auto"/>
          <w:sz w:val="24"/>
          <w:highlight w:val="none"/>
        </w:rPr>
        <w:t xml:space="preserve">）、小的缺失插入变异（</w:t>
      </w:r>
      <w:r>
        <w:rPr>
          <w:rFonts w:hint="eastAsia" w:ascii="宋体" w:hAnsi="宋体" w:cs="宋体"/>
          <w:color w:val="auto"/>
          <w:sz w:val="24"/>
          <w:highlight w:val="none"/>
        </w:rPr>
        <w:t xml:space="preserve">20bp</w:t>
      </w:r>
      <w:r>
        <w:rPr>
          <w:rFonts w:hint="eastAsia" w:ascii="宋体" w:hAnsi="宋体" w:eastAsia="宋体" w:cs="宋体"/>
          <w:color w:val="auto"/>
          <w:sz w:val="24"/>
          <w:highlight w:val="none"/>
        </w:rPr>
        <w:t xml:space="preserve">以内），外显子水平的缺失</w:t>
      </w:r>
      <w:r>
        <w:rPr>
          <w:rFonts w:hint="eastAsia" w:ascii="宋体" w:hAnsi="宋体" w:cs="宋体"/>
          <w:color w:val="auto"/>
          <w:sz w:val="24"/>
          <w:highlight w:val="none"/>
        </w:rPr>
        <w:t xml:space="preserve">/</w:t>
      </w:r>
      <w:r>
        <w:rPr>
          <w:rFonts w:hint="eastAsia" w:ascii="宋体" w:hAnsi="宋体" w:eastAsia="宋体" w:cs="宋体"/>
          <w:color w:val="auto"/>
          <w:sz w:val="24"/>
          <w:highlight w:val="none"/>
        </w:rPr>
        <w:t xml:space="preserve">重复变异，以及线粒体环基因组变异。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）该检测可分析</w:t>
      </w:r>
      <w:r>
        <w:rPr>
          <w:rFonts w:hint="eastAsia" w:ascii="宋体" w:hAnsi="宋体" w:cs="宋体"/>
          <w:color w:val="auto"/>
          <w:sz w:val="24"/>
          <w:highlight w:val="none"/>
        </w:rPr>
        <w:t xml:space="preserve">ClinVar</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HGMD</w:t>
      </w:r>
      <w:r>
        <w:rPr>
          <w:rFonts w:hint="eastAsia" w:ascii="宋体" w:hAnsi="宋体" w:eastAsia="宋体" w:cs="宋体"/>
          <w:color w:val="auto"/>
          <w:sz w:val="24"/>
          <w:highlight w:val="none"/>
        </w:rPr>
        <w:t xml:space="preserve">中收录的</w:t>
      </w:r>
      <w:r>
        <w:rPr>
          <w:color w:val="auto"/>
          <w:sz w:val="24"/>
          <w:highlight w:val="none"/>
        </w:rPr>
        <w:t xml:space="preserve">≥</w:t>
      </w:r>
      <w:r>
        <w:rPr>
          <w:rFonts w:hint="eastAsia" w:ascii="宋体" w:hAnsi="宋体" w:cs="宋体"/>
          <w:color w:val="auto"/>
          <w:sz w:val="24"/>
          <w:highlight w:val="none"/>
        </w:rPr>
        <w:t xml:space="preserve">5000</w:t>
      </w:r>
      <w:r>
        <w:rPr>
          <w:rFonts w:hint="eastAsia" w:ascii="宋体" w:hAnsi="宋体" w:eastAsia="宋体" w:cs="宋体"/>
          <w:color w:val="auto"/>
          <w:sz w:val="24"/>
          <w:highlight w:val="none"/>
        </w:rPr>
        <w:t xml:space="preserve">个非编码区、深度内含子变异位点。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eastAsia="宋体" w:cs="宋体"/>
          <w:color w:val="auto"/>
          <w:sz w:val="24"/>
          <w:highlight w:val="none"/>
        </w:rPr>
        <w:t xml:space="preserve">）该检测可提示与受检者表型相关的其他变异类型，包括大片段的基因组拷贝数变异（如缺失</w:t>
      </w:r>
      <w:r>
        <w:rPr>
          <w:rFonts w:hint="eastAsia" w:ascii="宋体" w:hAnsi="宋体" w:cs="宋体"/>
          <w:color w:val="auto"/>
          <w:sz w:val="24"/>
          <w:highlight w:val="none"/>
        </w:rPr>
        <w:t xml:space="preserve">/</w:t>
      </w:r>
      <w:r>
        <w:rPr>
          <w:rFonts w:hint="eastAsia" w:ascii="宋体" w:hAnsi="宋体" w:eastAsia="宋体" w:cs="宋体"/>
          <w:color w:val="auto"/>
          <w:sz w:val="24"/>
          <w:highlight w:val="none"/>
        </w:rPr>
        <w:t xml:space="preserve">重复区间</w:t>
      </w:r>
      <w:r>
        <w:rPr>
          <w:color w:val="auto"/>
          <w:sz w:val="24"/>
          <w:highlight w:val="none"/>
        </w:rPr>
        <w:t xml:space="preserve">≥</w:t>
      </w:r>
      <w:r>
        <w:rPr>
          <w:rFonts w:hint="eastAsia" w:ascii="宋体" w:hAnsi="宋体" w:cs="宋体"/>
          <w:color w:val="auto"/>
          <w:sz w:val="24"/>
          <w:highlight w:val="none"/>
        </w:rPr>
        <w:t xml:space="preserve">1Mb</w:t>
      </w:r>
      <w:r>
        <w:rPr>
          <w:rFonts w:hint="eastAsia" w:ascii="宋体" w:hAnsi="宋体" w:eastAsia="宋体" w:cs="宋体"/>
          <w:color w:val="auto"/>
          <w:sz w:val="24"/>
          <w:highlight w:val="none"/>
        </w:rPr>
        <w:t xml:space="preserve">）、染色体非整倍体、三倍体、杂合性缺失（</w:t>
      </w:r>
      <w:r>
        <w:rPr>
          <w:rFonts w:hint="eastAsia" w:ascii="宋体" w:hAnsi="宋体" w:cs="宋体"/>
          <w:color w:val="auto"/>
          <w:sz w:val="24"/>
          <w:highlight w:val="none"/>
        </w:rPr>
        <w:t xml:space="preserve">ROH</w:t>
      </w:r>
      <w:r>
        <w:rPr>
          <w:rFonts w:hint="eastAsia" w:ascii="宋体" w:hAnsi="宋体" w:eastAsia="宋体" w:cs="宋体"/>
          <w:color w:val="auto"/>
          <w:sz w:val="24"/>
          <w:highlight w:val="none"/>
        </w:rPr>
        <w:t xml:space="preserve">，区间</w:t>
      </w:r>
      <w:r>
        <w:rPr>
          <w:color w:val="auto"/>
          <w:sz w:val="24"/>
          <w:highlight w:val="none"/>
        </w:rPr>
        <w:t xml:space="preserve">≥</w:t>
      </w:r>
      <w:r>
        <w:rPr>
          <w:rFonts w:hint="eastAsia" w:ascii="宋体" w:hAnsi="宋体" w:cs="宋体"/>
          <w:color w:val="auto"/>
          <w:sz w:val="24"/>
          <w:highlight w:val="none"/>
        </w:rPr>
        <w:t xml:space="preserve">5Mb</w:t>
      </w:r>
      <w:r>
        <w:rPr>
          <w:rFonts w:hint="eastAsia" w:ascii="宋体" w:hAnsi="宋体" w:eastAsia="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eastAsia="宋体" w:cs="宋体"/>
          <w:color w:val="auto"/>
          <w:sz w:val="24"/>
          <w:highlight w:val="none"/>
        </w:rPr>
        <w:t xml:space="preserve">）外显子捕获探针</w:t>
      </w:r>
      <w:r>
        <w:rPr>
          <w:color w:val="auto"/>
          <w:sz w:val="24"/>
          <w:highlight w:val="none"/>
        </w:rPr>
        <w:t xml:space="preserve">≥</w:t>
      </w:r>
      <w:r>
        <w:rPr>
          <w:rFonts w:hint="eastAsia" w:ascii="宋体" w:hAnsi="宋体" w:cs="宋体"/>
          <w:color w:val="auto"/>
          <w:sz w:val="24"/>
          <w:highlight w:val="none"/>
        </w:rPr>
        <w:t xml:space="preserve">40Mb</w:t>
      </w:r>
      <w:r>
        <w:rPr>
          <w:rFonts w:hint="eastAsia" w:ascii="宋体" w:hAnsi="宋体" w:eastAsia="宋体" w:cs="宋体"/>
          <w:color w:val="auto"/>
          <w:sz w:val="24"/>
          <w:highlight w:val="none"/>
        </w:rPr>
        <w:t xml:space="preserve">，探针设计需参考</w:t>
      </w:r>
      <w:r>
        <w:rPr>
          <w:rFonts w:hint="eastAsia" w:ascii="宋体" w:hAnsi="宋体" w:cs="宋体"/>
          <w:color w:val="auto"/>
          <w:sz w:val="24"/>
          <w:highlight w:val="none"/>
        </w:rPr>
        <w:t xml:space="preserve">CCDS</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RefSeq</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Ensembl</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GENCODE</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ClinVar </w:t>
      </w:r>
      <w:r>
        <w:rPr>
          <w:rFonts w:hint="eastAsia" w:ascii="宋体" w:hAnsi="宋体" w:eastAsia="宋体" w:cs="宋体"/>
          <w:color w:val="auto"/>
          <w:sz w:val="24"/>
          <w:highlight w:val="none"/>
        </w:rPr>
        <w:t xml:space="preserve">等数据库。</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5</w:t>
      </w:r>
      <w:r>
        <w:rPr>
          <w:rFonts w:hint="eastAsia" w:ascii="宋体" w:hAnsi="宋体" w:eastAsia="宋体" w:cs="宋体"/>
          <w:color w:val="auto"/>
          <w:sz w:val="24"/>
          <w:highlight w:val="none"/>
        </w:rPr>
        <w:t xml:space="preserve">）测序质控要求：单个样本的数据量</w:t>
      </w:r>
      <w:r>
        <w:rPr>
          <w:color w:val="auto"/>
          <w:sz w:val="24"/>
          <w:highlight w:val="none"/>
        </w:rPr>
        <w:t xml:space="preserve">≥</w:t>
      </w:r>
      <w:r>
        <w:rPr>
          <w:rFonts w:hint="eastAsia" w:cs="宋体" w:asciiTheme="minorEastAsia" w:hAnsiTheme="minorEastAsia"/>
          <w:color w:val="auto"/>
          <w:sz w:val="24"/>
          <w:highlight w:val="none"/>
        </w:rPr>
        <w:t xml:space="preserve">12</w:t>
      </w:r>
      <w:r>
        <w:rPr>
          <w:rFonts w:hint="eastAsia" w:ascii="宋体" w:hAnsi="宋体" w:cs="宋体"/>
          <w:color w:val="auto"/>
          <w:sz w:val="24"/>
          <w:highlight w:val="none"/>
        </w:rPr>
        <w:t xml:space="preserve">G</w:t>
      </w:r>
      <w:r>
        <w:rPr>
          <w:rFonts w:hint="eastAsia" w:ascii="宋体" w:hAnsi="宋体" w:eastAsia="宋体" w:cs="宋体"/>
          <w:color w:val="auto"/>
          <w:sz w:val="24"/>
          <w:highlight w:val="none"/>
        </w:rPr>
        <w:t xml:space="preserve">；平均测序深度</w:t>
      </w:r>
      <w:r>
        <w:rPr>
          <w:color w:val="auto"/>
          <w:sz w:val="24"/>
          <w:highlight w:val="none"/>
        </w:rPr>
        <w:t xml:space="preserve">≥</w:t>
      </w:r>
      <w:r>
        <w:rPr>
          <w:rFonts w:hint="eastAsia" w:ascii="宋体" w:hAnsi="宋体" w:cs="宋体"/>
          <w:color w:val="auto"/>
          <w:sz w:val="24"/>
          <w:highlight w:val="none"/>
        </w:rPr>
        <w:t xml:space="preserve">1</w:t>
      </w:r>
      <w:r>
        <w:rPr>
          <w:rFonts w:hint="eastAsia" w:cs="宋体" w:asciiTheme="minorEastAsia" w:hAnsiTheme="minorEastAsia"/>
          <w:color w:val="auto"/>
          <w:sz w:val="24"/>
          <w:highlight w:val="none"/>
        </w:rPr>
        <w:t xml:space="preserve">5</w:t>
      </w:r>
      <w:r>
        <w:rPr>
          <w:rFonts w:hint="eastAsia" w:ascii="宋体" w:hAnsi="宋体" w:cs="宋体"/>
          <w:color w:val="auto"/>
          <w:sz w:val="24"/>
          <w:highlight w:val="none"/>
        </w:rPr>
        <w:t xml:space="preserve">0×</w:t>
      </w:r>
      <w:r>
        <w:rPr>
          <w:rFonts w:hint="eastAsia" w:ascii="宋体" w:hAnsi="宋体" w:eastAsia="宋体" w:cs="宋体"/>
          <w:color w:val="auto"/>
          <w:sz w:val="24"/>
          <w:highlight w:val="none"/>
        </w:rPr>
        <w:t xml:space="preserve">；原始数据</w:t>
      </w:r>
      <w:r>
        <w:rPr>
          <w:rFonts w:hint="eastAsia" w:ascii="宋体" w:hAnsi="宋体" w:cs="宋体"/>
          <w:color w:val="auto"/>
          <w:sz w:val="24"/>
          <w:highlight w:val="none"/>
        </w:rPr>
        <w:t xml:space="preserve">Q30&gt;85%</w:t>
      </w:r>
      <w:r>
        <w:rPr>
          <w:rFonts w:hint="eastAsia" w:ascii="宋体" w:hAnsi="宋体" w:eastAsia="宋体" w:cs="宋体"/>
          <w:color w:val="auto"/>
          <w:sz w:val="24"/>
          <w:highlight w:val="none"/>
        </w:rPr>
        <w:t xml:space="preserve">；目标区域覆盖率</w:t>
      </w:r>
      <w:r>
        <w:rPr>
          <w:rFonts w:hint="eastAsia" w:ascii="宋体" w:hAnsi="宋体" w:cs="宋体"/>
          <w:color w:val="auto"/>
          <w:sz w:val="24"/>
          <w:highlight w:val="none"/>
        </w:rPr>
        <w:t xml:space="preserve">&gt;99%</w:t>
      </w:r>
      <w:r>
        <w:rPr>
          <w:rFonts w:hint="eastAsia" w:ascii="宋体" w:hAnsi="宋体" w:eastAsia="宋体" w:cs="宋体"/>
          <w:color w:val="auto"/>
          <w:sz w:val="24"/>
          <w:highlight w:val="none"/>
        </w:rPr>
        <w:t xml:space="preserve">；</w:t>
      </w:r>
      <w:r>
        <w:rPr>
          <w:color w:val="auto"/>
          <w:sz w:val="24"/>
          <w:highlight w:val="none"/>
        </w:rPr>
        <w:t xml:space="preserve">≥</w:t>
      </w:r>
      <w:r>
        <w:rPr>
          <w:rFonts w:hint="eastAsia" w:cs="宋体" w:asciiTheme="minorEastAsia" w:hAnsiTheme="minorEastAsia"/>
          <w:color w:val="auto"/>
          <w:sz w:val="24"/>
          <w:highlight w:val="none"/>
        </w:rPr>
        <w:t xml:space="preserve">2</w:t>
      </w:r>
      <w:r>
        <w:rPr>
          <w:rFonts w:hint="eastAsia" w:ascii="宋体" w:hAnsi="宋体" w:cs="宋体"/>
          <w:color w:val="auto"/>
          <w:sz w:val="24"/>
          <w:highlight w:val="none"/>
        </w:rPr>
        <w:t xml:space="preserve">0X</w:t>
      </w:r>
      <w:r>
        <w:rPr>
          <w:rFonts w:hint="eastAsia" w:ascii="宋体" w:hAnsi="宋体" w:eastAsia="宋体" w:cs="宋体"/>
          <w:color w:val="auto"/>
          <w:sz w:val="24"/>
          <w:highlight w:val="none"/>
        </w:rPr>
        <w:t xml:space="preserve">覆盖度</w:t>
      </w:r>
      <w:r>
        <w:rPr>
          <w:rFonts w:hint="eastAsia" w:ascii="宋体" w:hAnsi="宋体" w:cs="宋体"/>
          <w:color w:val="auto"/>
          <w:sz w:val="24"/>
          <w:highlight w:val="none"/>
        </w:rPr>
        <w:t xml:space="preserve">&gt;97%</w:t>
      </w:r>
      <w:r>
        <w:rPr>
          <w:rFonts w:hint="eastAsia" w:ascii="宋体" w:hAnsi="宋体" w:eastAsia="宋体" w:cs="宋体"/>
          <w:color w:val="auto"/>
          <w:sz w:val="24"/>
          <w:highlight w:val="none"/>
        </w:rPr>
        <w:t xml:space="preserve">；线粒体环基因组平均测序深度≥3000X。</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3.全基因组测序检测服务（WGS）技术需求</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rPr>
        <w:t xml:space="preserve">）检测范围：能全面分析人类核基因组区域2万多个基因的外显子及内含子区变异（包括点突变、20bp以内插入缺失）、全基因组范围内CNV（缺失/重复变异30Kb以上）、外显子水平（exonic）CNV、动态突变以及线粒体环基因组变异，染色体数目异常（非整倍体和三倍体）、能分析≥5Mb的杂合性缺失（ROH）。</w:t>
      </w:r>
      <w:r/>
    </w:p>
    <w:p>
      <w:pPr>
        <w:ind w:firstLine="480"/>
        <w:spacing w:line="360" w:lineRule="auto"/>
        <w:rPr>
          <w:rFonts w:hint="eastAsia" w:ascii="宋体" w:hAnsi="宋体" w:eastAsia="宋体" w:cs="宋体"/>
          <w:color w:val="auto"/>
          <w:sz w:val="24"/>
          <w:highlight w:val="none"/>
        </w:rPr>
      </w:pPr>
      <w:r>
        <w:rPr>
          <w:rFonts w:hint="eastAsia" w:cs="宋体" w:asciiTheme="minorEastAsia" w:hAnsiTheme="minorEastAsia"/>
          <w:color w:val="auto"/>
          <w:sz w:val="24"/>
          <w:highlight w:val="none"/>
        </w:rPr>
        <w:t xml:space="preserve">2</w:t>
      </w:r>
      <w:r>
        <w:rPr>
          <w:rFonts w:hint="eastAsia" w:ascii="宋体" w:hAnsi="宋体" w:eastAsia="宋体" w:cs="宋体"/>
          <w:color w:val="auto"/>
          <w:sz w:val="24"/>
          <w:highlight w:val="none"/>
        </w:rPr>
        <w:t xml:space="preserve">）测序数据要求：单个样本的平均测序深度≥40X，测序数据量≥120G，Q20≥90%，Q30≥85%，20X覆盖度≥95%，线粒体环基因组平均测序深度≥3000X。</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4.其他遗传检测的技术需求</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rPr>
        <w:t xml:space="preserve">）具备30个基因以上的多重连接探针扩增技术（MLPA）和甲基化多重连接探针扩增技术（MS-MLPA）应用，以及一代测序、定量PCR、动态突变检测等分子诊断技术对临床特定疾病进行基因检测及验证，提供</w:t>
      </w:r>
      <w:r>
        <w:rPr>
          <w:rFonts w:ascii="宋体" w:hAnsi="宋体" w:eastAsia="宋体" w:cs="宋体"/>
          <w:color w:val="auto"/>
          <w:sz w:val="24"/>
          <w:highlight w:val="none"/>
        </w:rPr>
        <w:t xml:space="preserve">先天性肾上腺皮质增生症</w:t>
      </w:r>
      <w:r>
        <w:rPr>
          <w:rFonts w:hint="eastAsia" w:ascii="宋体" w:hAnsi="宋体" w:eastAsia="宋体" w:cs="宋体"/>
          <w:color w:val="auto"/>
          <w:sz w:val="24"/>
          <w:highlight w:val="none"/>
        </w:rPr>
        <w:t xml:space="preserve">、多囊肾等特殊遗传病的基因检测服务（需排除假基因干扰测序）。</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）提供高通量测序检测的panel分析。</w:t>
      </w:r>
      <w:r/>
    </w:p>
    <w:p>
      <w:pPr>
        <w:ind w:firstLine="480"/>
        <w:spacing w:line="360" w:lineRule="auto"/>
        <w:rPr>
          <w:rFonts w:asciiTheme="minorEastAsia" w:hAnsiTheme="minorEastAsia"/>
          <w:color w:val="auto"/>
          <w:sz w:val="24"/>
          <w:highlight w:val="none"/>
        </w:rPr>
      </w:pPr>
      <w:r>
        <w:rPr>
          <w:rFonts w:hint="eastAsia" w:ascii="宋体" w:hAnsi="宋体" w:eastAsia="宋体" w:cs="宋体"/>
          <w:color w:val="auto"/>
          <w:sz w:val="24"/>
          <w:highlight w:val="none"/>
        </w:rPr>
        <w:t xml:space="preserve">3）</w:t>
      </w:r>
      <w:r>
        <w:rPr>
          <w:rFonts w:hint="eastAsia" w:ascii="宋体" w:hAnsi="宋体"/>
          <w:color w:val="auto"/>
          <w:sz w:val="24"/>
          <w:highlight w:val="none"/>
        </w:rPr>
        <w:t xml:space="preserve">投标供应商</w:t>
      </w:r>
      <w:r>
        <w:rPr>
          <w:rFonts w:hint="eastAsia" w:ascii="宋体" w:hAnsi="宋体" w:eastAsia="宋体" w:cs="宋体"/>
          <w:color w:val="auto"/>
          <w:sz w:val="24"/>
          <w:highlight w:val="none"/>
        </w:rPr>
        <w:t xml:space="preserve">可提供符合国家和地方政策规定的其他儿童遗传病基因检测项目（例如单独的线粒体环测序，新生儿遗传筛查等）检测服务的，</w:t>
      </w:r>
      <w:r>
        <w:rPr>
          <w:rFonts w:hint="eastAsia" w:ascii="宋体" w:hAnsi="宋体"/>
          <w:color w:val="auto"/>
          <w:sz w:val="24"/>
          <w:highlight w:val="none"/>
        </w:rPr>
        <w:t xml:space="preserve">在</w:t>
      </w:r>
      <w:r>
        <w:rPr>
          <w:rFonts w:hint="eastAsia" w:ascii="宋体" w:hAnsi="宋体" w:eastAsia="宋体"/>
          <w:color w:val="auto"/>
          <w:sz w:val="24"/>
          <w:highlight w:val="none"/>
        </w:rPr>
        <w:t xml:space="preserve">其他遗传</w:t>
      </w:r>
      <w:r>
        <w:rPr>
          <w:rFonts w:hint="eastAsia" w:ascii="宋体" w:hAnsi="宋体"/>
          <w:color w:val="auto"/>
          <w:sz w:val="24"/>
          <w:highlight w:val="none"/>
        </w:rPr>
        <w:t xml:space="preserve">检测项目表中列出（格式见附件）。结算时，按照投标供应商所填的报价以及实际</w:t>
      </w:r>
      <w:r>
        <w:rPr>
          <w:rFonts w:hint="eastAsia" w:ascii="宋体" w:hAnsi="宋体" w:eastAsia="宋体" w:cs="宋体"/>
          <w:color w:val="auto"/>
          <w:sz w:val="24"/>
          <w:highlight w:val="none"/>
        </w:rPr>
        <w:t xml:space="preserve">检测</w:t>
      </w:r>
      <w:r>
        <w:rPr>
          <w:rFonts w:hint="eastAsia" w:ascii="宋体" w:hAnsi="宋体"/>
          <w:color w:val="auto"/>
          <w:sz w:val="24"/>
          <w:highlight w:val="none"/>
        </w:rPr>
        <w:t xml:space="preserve">的数量为准。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 商务需求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1.检测周期：</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rPr>
        <w:t xml:space="preserve">）全外显子组测序检测不超过20个工作日，特殊情况能予以加急处理。该周期含Sanger等验证时间。</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）全基因组测序检测不超过30个工作日，特殊情况能予以加急处理。该周期含Sanger等验证时间。</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3</w:t>
      </w:r>
      <w:r>
        <w:rPr>
          <w:rFonts w:hint="eastAsia" w:ascii="宋体" w:hAnsi="宋体" w:eastAsia="宋体" w:cs="宋体"/>
          <w:color w:val="auto"/>
          <w:sz w:val="24"/>
          <w:highlight w:val="none"/>
        </w:rPr>
        <w:t xml:space="preserve">）其他检测项目均不超过20个工作日，加测项目不超过10个工作日。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2.需具备独立完成高通量测序生物信息分析的能力，开发的生物信息数据分析流程软件具有合法合规的知识产权。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3.需具备</w:t>
      </w:r>
      <w:r>
        <w:rPr>
          <w:rFonts w:hint="eastAsia" w:asciiTheme="minorEastAsia" w:hAnsiTheme="minorEastAsia"/>
          <w:color w:val="auto"/>
          <w:sz w:val="24"/>
          <w:highlight w:val="none"/>
        </w:rPr>
        <w:t xml:space="preserve">完整的样本</w:t>
      </w:r>
      <w:r>
        <w:rPr>
          <w:rFonts w:asciiTheme="minorEastAsia" w:hAnsiTheme="minorEastAsia"/>
          <w:color w:val="auto"/>
          <w:sz w:val="24"/>
          <w:highlight w:val="none"/>
        </w:rPr>
        <w:t xml:space="preserve">管理系统和NGS流程管理系统。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4.应提供样本递送冷链物流方案，包括样本保存、运输、质控等信息。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5.可根据医院需求返回fastq格式的原始数据及信息分析后的VCF文件，且原始实验数据在投标人实验室保存≥1年。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6.服务期限为2年，合同履行期间，结算金额达到预算金额或者服务期满，本合同则自动终止。</w:t>
      </w:r>
      <w:r/>
    </w:p>
    <w:p>
      <w:pPr>
        <w:ind w:firstLine="480"/>
        <w:spacing w:line="360" w:lineRule="auto"/>
        <w:rPr>
          <w:rFonts w:asciiTheme="minorEastAsia" w:hAnsiTheme="minorEastAsia"/>
          <w:color w:val="auto"/>
          <w:sz w:val="24"/>
          <w:highlight w:val="none"/>
        </w:rPr>
      </w:pPr>
      <w:r>
        <w:rPr>
          <w:rFonts w:hint="eastAsia" w:ascii="宋体" w:hAnsi="宋体" w:eastAsia="宋体" w:cs="宋体"/>
          <w:color w:val="auto"/>
          <w:sz w:val="24"/>
          <w:highlight w:val="none"/>
        </w:rPr>
        <w:t xml:space="preserve">7.</w:t>
      </w:r>
      <w:r>
        <w:rPr>
          <w:rFonts w:hint="eastAsia" w:asciiTheme="minorEastAsia" w:hAnsiTheme="minorEastAsia"/>
          <w:color w:val="auto"/>
          <w:sz w:val="24"/>
          <w:highlight w:val="none"/>
        </w:rPr>
        <w:t xml:space="preserve">对检测服务的内容承担保密责任。</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w:t>
      </w:r>
      <w:r>
        <w:rPr>
          <w:rFonts w:hint="eastAsia" w:asciiTheme="minorEastAsia" w:hAnsiTheme="minorEastAsia"/>
          <w:color w:val="auto"/>
          <w:sz w:val="24"/>
          <w:highlight w:val="none"/>
        </w:rPr>
        <w:t xml:space="preserve">.向招标方提供项目相关的技术培训服务。</w:t>
      </w:r>
      <w:r/>
    </w:p>
    <w:p>
      <w:pPr>
        <w:spacing w:line="360" w:lineRule="auto"/>
        <w:rPr>
          <w:rFonts w:hint="eastAsia" w:ascii="宋体" w:hAnsi="宋体" w:eastAsia="宋体" w:cs="宋体"/>
          <w:b/>
          <w:bCs/>
          <w:color w:val="auto"/>
          <w:sz w:val="24"/>
          <w:highlight w:val="none"/>
        </w:rPr>
      </w:pPr>
      <w:r>
        <w:rPr>
          <w:rFonts w:hint="eastAsia" w:asciiTheme="minorEastAsia" w:hAnsiTheme="minorEastAsia" w:eastAsiaTheme="minorEastAsia"/>
          <w:b/>
          <w:bCs/>
          <w:color w:val="auto"/>
          <w:sz w:val="24"/>
          <w:highlight w:val="none"/>
        </w:rPr>
        <w:t xml:space="preserve">四</w:t>
      </w:r>
      <w:r>
        <w:rPr>
          <w:rFonts w:hint="eastAsia" w:ascii="宋体" w:hAnsi="宋体" w:eastAsia="宋体" w:cs="宋体"/>
          <w:b/>
          <w:bCs/>
          <w:color w:val="auto"/>
          <w:sz w:val="24"/>
          <w:highlight w:val="none"/>
        </w:rPr>
        <w:t xml:space="preserve">、 付款方式</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color w:val="auto"/>
          <w:sz w:val="24"/>
          <w:highlight w:val="none"/>
        </w:rPr>
        <w:t xml:space="preserve">检测费用按月结算，以上一个月外送标本及报告交接登记的签收记录为准。双方核实数量后，按中标单价根据合同条款按实结算。中标方开具正规发票，采购人按医院支付流程付款。</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第二部分  政府采购政策（包括但不限于下列具体政策要求）</w:t>
      </w:r>
      <w:r/>
    </w:p>
    <w:p>
      <w:pPr>
        <w:numPr>
          <w:ilvl w:val="1"/>
          <w:numId w:val="8"/>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
          <w:color w:val="auto"/>
          <w:sz w:val="36"/>
          <w:szCs w:val="36"/>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 w:eastAsia="zh-CN"/>
        </w:rPr>
        <w:t xml:space="preserve">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rPr>
          <w:rFonts w:hint="eastAsia" w:ascii="宋体" w:hAnsi="宋体" w:eastAsia="宋体" w:cs="宋体"/>
          <w:b/>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36"/>
          <w:szCs w:val="36"/>
          <w:highlight w:val="none"/>
        </w:rPr>
      </w:pPr>
      <w:r>
        <w:rPr>
          <w:rFonts w:hint="eastAsia" w:ascii="宋体" w:hAnsi="宋体" w:eastAsia="宋体" w:cs="宋体"/>
          <w:b/>
          <w:color w:val="auto"/>
          <w:sz w:val="36"/>
          <w:szCs w:val="36"/>
          <w:highlight w:val="none"/>
        </w:rPr>
        <w:t xml:space="preserve">第五章</w:t>
      </w:r>
      <w:r>
        <w:rPr>
          <w:rFonts w:hint="eastAsia" w:ascii="宋体" w:hAnsi="宋体" w:eastAsia="宋体" w:cs="宋体"/>
          <w:bCs/>
          <w:color w:val="auto"/>
          <w:sz w:val="36"/>
          <w:szCs w:val="36"/>
          <w:highlight w:val="none"/>
        </w:rPr>
        <w:t xml:space="preserve">  </w:t>
      </w:r>
      <w:r>
        <w:rPr>
          <w:rFonts w:hint="eastAsia" w:ascii="宋体" w:hAnsi="宋体" w:eastAsia="宋体" w:cs="宋体"/>
          <w:b/>
          <w:bCs/>
          <w:color w:val="auto"/>
          <w:sz w:val="36"/>
          <w:szCs w:val="36"/>
          <w:highlight w:val="none"/>
        </w:rPr>
        <w:t xml:space="preserve">评标方法与评标标准</w:t>
      </w:r>
      <w:r/>
    </w:p>
    <w:p>
      <w:pPr>
        <w:pStyle w:val="911"/>
        <w:ind w:firstLine="452"/>
        <w:keepLines w:val="0"/>
        <w:keepNext w:val="0"/>
        <w:spacing w:before="0" w:after="0"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t xml:space="preserve">第一部分评标方法</w:t>
      </w:r>
      <w:r/>
    </w:p>
    <w:p>
      <w:pPr>
        <w:pStyle w:val="1151"/>
        <w:spacing w:before="0" w:after="0"/>
        <w:rPr>
          <w:rFonts w:hint="eastAsia"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151"/>
        <w:spacing w:before="0" w:after="0"/>
        <w:rPr>
          <w:rFonts w:hint="eastAsia" w:ascii="宋体" w:hAnsi="宋体" w:cs="宋体"/>
          <w:color w:val="auto"/>
          <w:highlight w:val="none"/>
        </w:rPr>
      </w:pPr>
      <w:r>
        <w:rPr>
          <w:rFonts w:hint="eastAsia" w:ascii="宋体" w:hAnsi="宋体" w:cs="宋体"/>
          <w:color w:val="auto"/>
          <w:highlight w:val="none"/>
        </w:rPr>
        <w:t xml:space="preserve">比较与评价采用综合评分法。</w:t>
      </w:r>
      <w:r/>
    </w:p>
    <w:p>
      <w:pPr>
        <w:pStyle w:val="1151"/>
        <w:spacing w:before="0" w:after="0"/>
        <w:rPr>
          <w:rFonts w:hint="eastAsia" w:ascii="宋体" w:hAnsi="宋体" w:cs="宋体"/>
          <w:bCs/>
          <w:color w:val="auto"/>
          <w:highlight w:val="none"/>
        </w:rPr>
      </w:pPr>
      <w:r>
        <w:rPr>
          <w:rFonts w:hint="eastAsia" w:ascii="宋体" w:hAnsi="宋体" w:cs="宋体"/>
          <w:bCs/>
          <w:color w:val="auto"/>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w:t>
      </w:r>
      <w:r/>
    </w:p>
    <w:p>
      <w:pPr>
        <w:pStyle w:val="1151"/>
        <w:spacing w:before="0" w:after="0"/>
        <w:rPr>
          <w:rFonts w:hint="eastAsia" w:ascii="宋体" w:hAnsi="宋体" w:cs="宋体"/>
          <w:color w:val="auto"/>
          <w:highlight w:val="none"/>
          <w:shd w:val="clear" w:color="ffffff" w:fill="d9d9d9"/>
        </w:rPr>
      </w:pPr>
      <w:r>
        <w:rPr>
          <w:rFonts w:hint="eastAsia" w:ascii="宋体" w:hAnsi="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pStyle w:val="1151"/>
        <w:ind w:firstLine="562"/>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ind w:firstLine="482"/>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小微型企业价格扣除：</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本项目专门面向中小企业采购）</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联合体各方均为小型、微型企业的，联合体视同为小型、微型企业按规定享受价格扣除。</w:t>
      </w:r>
      <w:r/>
    </w:p>
    <w:p>
      <w:pPr>
        <w:ind w:firstLine="480"/>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151"/>
        <w:numPr>
          <w:ilvl w:val="0"/>
          <w:numId w:val="9"/>
        </w:numPr>
        <w:ind w:firstLine="360"/>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评分标准</w:t>
      </w:r>
      <w:r/>
    </w:p>
    <w:p>
      <w:pPr>
        <w:ind w:firstLine="480"/>
        <w:spacing w:line="360" w:lineRule="auto"/>
        <w:tabs>
          <w:tab w:val="left" w:pos="0" w:leader="none"/>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一、价格（2</w:t>
      </w:r>
      <w:r>
        <w:rPr>
          <w:rFonts w:hint="eastAsia" w:ascii="宋体" w:hAnsi="宋体" w:eastAsia="宋体"/>
          <w:b/>
          <w:bCs/>
          <w:color w:val="auto"/>
          <w:sz w:val="24"/>
          <w:szCs w:val="24"/>
          <w:highlight w:val="none"/>
        </w:rPr>
        <w:t xml:space="preserve">5</w:t>
      </w:r>
      <w:r>
        <w:rPr>
          <w:rFonts w:hint="eastAsia" w:ascii="宋体" w:hAnsi="宋体"/>
          <w:b/>
          <w:bCs/>
          <w:color w:val="auto"/>
          <w:sz w:val="24"/>
          <w:szCs w:val="24"/>
          <w:highlight w:val="none"/>
        </w:rPr>
        <w:t xml:space="preserve">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采用低价优先法计算，即满足招标文件要求且报价</w:t>
      </w:r>
      <w:r>
        <w:rPr>
          <w:rFonts w:hint="eastAsia" w:ascii="宋体" w:hAnsi="宋体" w:cs="宋体"/>
          <w:b/>
          <w:bCs/>
          <w:color w:val="auto"/>
          <w:sz w:val="24"/>
          <w:highlight w:val="none"/>
          <w:lang w:val="zh-CN"/>
        </w:rPr>
        <w:t xml:space="preserve">（</w:t>
      </w:r>
      <w:r>
        <w:rPr>
          <w:rFonts w:hint="eastAsia" w:ascii="宋体" w:hAnsi="宋体" w:eastAsia="宋体" w:cs="宋体"/>
          <w:b/>
          <w:bCs/>
          <w:color w:val="auto"/>
          <w:sz w:val="24"/>
          <w:szCs w:val="24"/>
          <w:highlight w:val="none"/>
        </w:rPr>
        <w:t xml:space="preserve">全外显子组测序单人占比40%、全外显子组测序家系占比45%，全基因组测序单人占比3%，全基因组测序家系占比2%，一代测序占比2%，MLPA/MS-MLPA占比2%，动态突变占比2%，CNV-seq占比2%，特殊遗传病检测项目占比2%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供应商在分项报价表中对全外显子组测序单人、家系，全基因组测序单人、家系，一代测序，MLPA/MS-MPLA，CNV-seq，动态突变，特殊遗传病检测项目分别进行报价后，根据开标一览表下方的公式换算后填入开标一览表中。</w:t>
      </w:r>
      <w:r>
        <w:rPr>
          <w:rFonts w:hint="eastAsia" w:ascii="宋体" w:hAnsi="宋体" w:cs="宋体"/>
          <w:b/>
          <w:bCs/>
          <w:color w:val="auto"/>
          <w:sz w:val="24"/>
          <w:highlight w:val="none"/>
          <w:lang w:val="zh-CN"/>
        </w:rPr>
        <w:t xml:space="preserve">）</w:t>
      </w:r>
      <w:r>
        <w:rPr>
          <w:rFonts w:hint="eastAsia" w:ascii="宋体" w:hAnsi="宋体" w:cs="宋体"/>
          <w:color w:val="auto"/>
          <w:sz w:val="24"/>
          <w:highlight w:val="none"/>
          <w:lang w:val="zh-CN"/>
        </w:rPr>
        <w:t xml:space="preserve">最低的报价为评审基准价，其价格分为满分。其他供应商的价格分统一按照下列公式计算：</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报价得分=（评审基准价／投标报价）×</w:t>
      </w:r>
      <w:r>
        <w:rPr>
          <w:rFonts w:hint="eastAsia" w:ascii="宋体" w:hAnsi="宋体" w:cs="宋体"/>
          <w:color w:val="auto"/>
          <w:sz w:val="24"/>
          <w:highlight w:val="none"/>
        </w:rPr>
        <w:t xml:space="preserve">价格权值</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100</w:t>
      </w:r>
      <w:r>
        <w:rPr>
          <w:rFonts w:hint="eastAsia" w:ascii="宋体" w:hAnsi="宋体" w:cs="宋体"/>
          <w:color w:val="auto"/>
          <w:sz w:val="24"/>
          <w:highlight w:val="none"/>
          <w:lang w:val="zh-CN"/>
        </w:rPr>
        <w:t xml:space="preserve">（计算结果保留两位小数）。</w:t>
      </w:r>
      <w:r/>
    </w:p>
    <w:p>
      <w:pPr>
        <w:ind w:firstLine="480"/>
        <w:spacing w:line="360" w:lineRule="auto"/>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二、商务标部分（25分）</w:t>
      </w:r>
      <w:r/>
    </w:p>
    <w:p>
      <w:pPr>
        <w:ind w:firstLine="480"/>
        <w:spacing w:line="360" w:lineRule="auto"/>
        <w:rPr>
          <w:rFonts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1）企业业绩（</w:t>
      </w:r>
      <w:r>
        <w:rPr>
          <w:rFonts w:hint="eastAsia" w:ascii="宋体" w:hAnsi="宋体" w:eastAsia="宋体" w:cs="宋体"/>
          <w:color w:val="auto"/>
          <w:sz w:val="24"/>
          <w:highlight w:val="none"/>
        </w:rPr>
        <w:t xml:space="preserve">8</w:t>
      </w:r>
      <w:r>
        <w:rPr>
          <w:rFonts w:hint="eastAsia" w:ascii="宋体" w:hAnsi="宋体" w:cs="宋体"/>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投标供应商202</w:t>
      </w:r>
      <w:r>
        <w:rPr>
          <w:rFonts w:hint="eastAsia" w:ascii="宋体" w:hAnsi="宋体" w:eastAsia="宋体" w:cs="宋体"/>
          <w:color w:val="auto"/>
          <w:sz w:val="24"/>
          <w:highlight w:val="none"/>
        </w:rPr>
        <w:t xml:space="preserve">3</w:t>
      </w:r>
      <w:r>
        <w:rPr>
          <w:rFonts w:hint="eastAsia" w:ascii="宋体" w:hAnsi="宋体" w:cs="宋体"/>
          <w:color w:val="auto"/>
          <w:sz w:val="24"/>
          <w:highlight w:val="none"/>
        </w:rPr>
        <w:t xml:space="preserve">年1月1日（以合同签订时间为准）至投标截止日有同类项目的业绩，每有一个得</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rPr>
        <w:t xml:space="preserve">分，满分</w:t>
      </w:r>
      <w:r>
        <w:rPr>
          <w:rFonts w:hint="eastAsia" w:ascii="宋体" w:hAnsi="宋体" w:eastAsia="宋体" w:cs="宋体"/>
          <w:color w:val="auto"/>
          <w:sz w:val="24"/>
          <w:highlight w:val="none"/>
        </w:rPr>
        <w:t xml:space="preserve">8</w:t>
      </w:r>
      <w:r>
        <w:rPr>
          <w:rFonts w:hint="eastAsia" w:ascii="宋体" w:hAnsi="宋体" w:cs="宋体"/>
          <w:color w:val="auto"/>
          <w:sz w:val="24"/>
          <w:highlight w:val="none"/>
        </w:rPr>
        <w:t xml:space="preserve">分。投标时提供合同</w:t>
      </w:r>
      <w:r>
        <w:rPr>
          <w:rFonts w:hint="eastAsia" w:ascii="宋体" w:hAnsi="宋体" w:eastAsia="宋体" w:cs="宋体"/>
          <w:color w:val="auto"/>
          <w:sz w:val="24"/>
          <w:szCs w:val="24"/>
          <w:highlight w:val="none"/>
        </w:rPr>
        <w:t xml:space="preserve">原件扫描件上传系统并签章</w:t>
      </w:r>
      <w:r>
        <w:rPr>
          <w:rFonts w:hint="eastAsia" w:ascii="宋体"/>
          <w:color w:val="auto"/>
          <w:sz w:val="24"/>
          <w:highlight w:val="none"/>
        </w:rPr>
        <w:t xml:space="preserve">，不提供或提供不符合要求均不得分</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eastAsia="zh-CN"/>
        </w:rPr>
        <w:t xml:space="preserve">人员配置（5分）</w:t>
      </w:r>
      <w:r/>
    </w:p>
    <w:p>
      <w:pPr>
        <w:pStyle w:val="902"/>
        <w:numPr>
          <w:ilvl w:val="0"/>
          <w:numId w:val="0"/>
        </w:numPr>
        <w:ind w:firstLine="480"/>
        <w:rPr>
          <w:rFonts w:ascii="宋体" w:hAnsi="宋体" w:eastAsia="Arial"/>
          <w:b w:val="0"/>
          <w:color w:val="auto"/>
          <w:szCs w:val="22"/>
          <w:highlight w:val="none"/>
        </w:rPr>
      </w:pPr>
      <w:r>
        <w:rPr>
          <w:rFonts w:hint="eastAsia" w:ascii="宋体" w:hAnsi="宋体" w:eastAsia="Arial"/>
          <w:b w:val="0"/>
          <w:color w:val="auto"/>
          <w:szCs w:val="22"/>
          <w:highlight w:val="none"/>
        </w:rPr>
        <w:t xml:space="preserve">项目负责人为遗传学相关专业中级及以上职称的得1分，高级及以上职称的得3分</w:t>
      </w:r>
      <w:r>
        <w:rPr>
          <w:rFonts w:hint="eastAsia" w:ascii="宋体" w:hAnsi="宋体"/>
          <w:b w:val="0"/>
          <w:color w:val="auto"/>
          <w:szCs w:val="22"/>
          <w:highlight w:val="none"/>
          <w:lang w:eastAsia="zh-CN"/>
        </w:rPr>
        <w:t xml:space="preserve">，</w:t>
      </w:r>
      <w:r>
        <w:rPr>
          <w:rFonts w:hint="eastAsia" w:ascii="宋体" w:hAnsi="宋体" w:eastAsia="Arial"/>
          <w:b w:val="0"/>
          <w:color w:val="auto"/>
          <w:szCs w:val="22"/>
          <w:highlight w:val="none"/>
        </w:rPr>
        <w:t xml:space="preserve">项目团队其他人员具有遗传学相关专业中级及以上职称的有1人得1分</w:t>
      </w:r>
      <w:r>
        <w:rPr>
          <w:rFonts w:hint="eastAsia" w:ascii="宋体" w:hAnsi="宋体"/>
          <w:b w:val="0"/>
          <w:color w:val="auto"/>
          <w:szCs w:val="22"/>
          <w:highlight w:val="none"/>
          <w:lang w:eastAsia="zh-CN"/>
        </w:rPr>
        <w:t xml:space="preserve">，</w:t>
      </w:r>
      <w:r>
        <w:rPr>
          <w:rFonts w:hint="eastAsia" w:ascii="宋体" w:hAnsi="宋体" w:eastAsia="Arial"/>
          <w:b w:val="0"/>
          <w:color w:val="auto"/>
          <w:szCs w:val="22"/>
          <w:highlight w:val="none"/>
        </w:rPr>
        <w:t xml:space="preserve">最高得2分，本项最高得5分。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提供相关证明材料</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同时需提供上述人员与本单位签订的劳动合同</w:t>
      </w:r>
      <w:r>
        <w:rPr>
          <w:rFonts w:hint="eastAsia" w:ascii="宋体" w:hAnsi="宋体" w:eastAsia="宋体" w:cs="宋体"/>
          <w:color w:val="auto"/>
          <w:sz w:val="24"/>
          <w:highlight w:val="none"/>
        </w:rPr>
        <w:t xml:space="preserve">或</w:t>
      </w:r>
      <w:r>
        <w:rPr>
          <w:rFonts w:hint="eastAsia" w:ascii="宋体" w:hAnsi="宋体" w:cs="宋体"/>
          <w:color w:val="auto"/>
          <w:sz w:val="24"/>
          <w:highlight w:val="none"/>
        </w:rPr>
        <w:t xml:space="preserve">与有关部门出具的近</w:t>
      </w:r>
      <w:r>
        <w:rPr>
          <w:rFonts w:hint="eastAsia" w:ascii="宋体" w:hAnsi="宋体" w:eastAsia="宋体" w:cs="宋体"/>
          <w:color w:val="auto"/>
          <w:sz w:val="24"/>
          <w:highlight w:val="none"/>
        </w:rPr>
        <w:t xml:space="preserve">六</w:t>
      </w:r>
      <w:r>
        <w:rPr>
          <w:rFonts w:hint="eastAsia" w:ascii="宋体" w:hAnsi="宋体" w:cs="宋体"/>
          <w:color w:val="auto"/>
          <w:sz w:val="24"/>
          <w:highlight w:val="none"/>
        </w:rPr>
        <w:t xml:space="preserve">个月任意一个月（不含投标当月）的社保缴费证明</w:t>
      </w:r>
      <w:r>
        <w:rPr>
          <w:rFonts w:hint="eastAsia" w:ascii="宋体" w:hAnsi="宋体" w:eastAsia="宋体" w:cs="宋体"/>
          <w:color w:val="auto"/>
          <w:sz w:val="24"/>
          <w:szCs w:val="24"/>
          <w:highlight w:val="none"/>
        </w:rPr>
        <w:t xml:space="preserve">原件扫描件上传系统并签章</w:t>
      </w:r>
      <w:r>
        <w:rPr>
          <w:rFonts w:hint="eastAsia" w:ascii="宋体" w:hAnsi="宋体" w:cs="宋体"/>
          <w:color w:val="auto"/>
          <w:sz w:val="24"/>
          <w:highlight w:val="none"/>
        </w:rPr>
        <w:t xml:space="preserve">，</w:t>
      </w:r>
      <w:r>
        <w:rPr>
          <w:rFonts w:hint="eastAsia" w:ascii="宋体"/>
          <w:color w:val="auto"/>
          <w:sz w:val="24"/>
          <w:highlight w:val="none"/>
        </w:rPr>
        <w:t xml:space="preserve">不提供或提供不符合要求均不得分</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rPr>
        <w:t xml:space="preserve">）室间质评（</w:t>
      </w:r>
      <w:r>
        <w:rPr>
          <w:rFonts w:hint="eastAsia" w:ascii="宋体" w:hAnsi="宋体" w:eastAsia="宋体" w:cs="宋体"/>
          <w:color w:val="auto"/>
          <w:sz w:val="24"/>
          <w:highlight w:val="none"/>
        </w:rPr>
        <w:t xml:space="preserve">3</w:t>
      </w:r>
      <w:r>
        <w:rPr>
          <w:rFonts w:hint="eastAsia" w:ascii="宋体" w:hAnsi="宋体" w:cs="宋体"/>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承接本项目的检测实验室具有适用于本项目的合格室间质评证书（自202</w:t>
      </w:r>
      <w:r>
        <w:rPr>
          <w:rFonts w:hint="eastAsia" w:ascii="宋体" w:hAnsi="宋体" w:eastAsia="宋体" w:cs="宋体"/>
          <w:color w:val="auto"/>
          <w:sz w:val="24"/>
          <w:highlight w:val="none"/>
        </w:rPr>
        <w:t xml:space="preserve">3</w:t>
      </w:r>
      <w:r>
        <w:rPr>
          <w:rFonts w:hint="eastAsia" w:ascii="宋体" w:hAnsi="宋体" w:cs="宋体"/>
          <w:color w:val="auto"/>
          <w:sz w:val="24"/>
          <w:highlight w:val="none"/>
        </w:rPr>
        <w:t xml:space="preserve">年1月1日以来），提供一张证书得</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rPr>
        <w:t xml:space="preserve">分，最高得</w:t>
      </w:r>
      <w:r>
        <w:rPr>
          <w:rFonts w:hint="eastAsia" w:ascii="宋体" w:hAnsi="宋体" w:eastAsia="宋体" w:cs="宋体"/>
          <w:color w:val="auto"/>
          <w:sz w:val="24"/>
          <w:highlight w:val="none"/>
        </w:rPr>
        <w:t xml:space="preserve">3</w:t>
      </w:r>
      <w:r>
        <w:rPr>
          <w:rFonts w:hint="eastAsia" w:ascii="宋体" w:hAnsi="宋体" w:cs="宋体"/>
          <w:color w:val="auto"/>
          <w:sz w:val="24"/>
          <w:highlight w:val="none"/>
        </w:rPr>
        <w:t xml:space="preserve">分。（投标时提供</w:t>
      </w:r>
      <w:r>
        <w:rPr>
          <w:rFonts w:hint="eastAsia" w:ascii="宋体" w:hAnsi="宋体" w:eastAsia="宋体" w:cs="宋体"/>
          <w:color w:val="auto"/>
          <w:sz w:val="24"/>
          <w:szCs w:val="24"/>
          <w:highlight w:val="none"/>
        </w:rPr>
        <w:t xml:space="preserve">原件扫描件上传系统并签章</w:t>
      </w:r>
      <w:r>
        <w:rPr>
          <w:rFonts w:hint="eastAsia" w:ascii="宋体"/>
          <w:color w:val="auto"/>
          <w:sz w:val="24"/>
          <w:highlight w:val="none"/>
        </w:rPr>
        <w:t xml:space="preserve">，不提供或提供不符合要求均不得分</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cs="宋体"/>
          <w:color w:val="auto"/>
          <w:sz w:val="24"/>
          <w:highlight w:val="none"/>
        </w:rPr>
        <w:t xml:space="preserve">）数据库需求（</w:t>
      </w:r>
      <w:r>
        <w:rPr>
          <w:rFonts w:hint="eastAsia" w:ascii="宋体" w:hAnsi="宋体" w:eastAsia="宋体" w:cs="宋体"/>
          <w:color w:val="auto"/>
          <w:sz w:val="24"/>
          <w:highlight w:val="none"/>
        </w:rPr>
        <w:t xml:space="preserve">6</w:t>
      </w:r>
      <w:r>
        <w:rPr>
          <w:rFonts w:hint="eastAsia" w:ascii="宋体" w:hAnsi="宋体" w:cs="宋体"/>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供应商可以提供专门的数据库平台，具备PB 级别的数据存储能力的2分，未达到PB 级别的数据存储能力不得分。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数据库平台能满足12个工作日出具原始报告的，得</w:t>
      </w:r>
      <w:r>
        <w:rPr>
          <w:rFonts w:hint="eastAsia" w:cs="宋体" w:asciiTheme="minorEastAsia" w:hAnsiTheme="minorEastAsia" w:eastAsiaTheme="minorEastAsia"/>
          <w:color w:val="auto"/>
          <w:sz w:val="24"/>
          <w:highlight w:val="none"/>
        </w:rPr>
        <w:t xml:space="preserve">4</w:t>
      </w:r>
      <w:r>
        <w:rPr>
          <w:rFonts w:hint="eastAsia" w:ascii="宋体" w:hAnsi="宋体" w:cs="宋体"/>
          <w:color w:val="auto"/>
          <w:sz w:val="24"/>
          <w:highlight w:val="none"/>
        </w:rPr>
        <w:t xml:space="preserve">分，能满足15个工作日出具原始报告的得</w:t>
      </w:r>
      <w:r>
        <w:rPr>
          <w:rFonts w:hint="eastAsia" w:cs="宋体" w:asciiTheme="minorEastAsia" w:hAnsiTheme="minorEastAsia" w:eastAsiaTheme="minorEastAsia"/>
          <w:color w:val="auto"/>
          <w:sz w:val="24"/>
          <w:highlight w:val="none"/>
        </w:rPr>
        <w:t xml:space="preserve">2</w:t>
      </w:r>
      <w:r>
        <w:rPr>
          <w:rFonts w:hint="eastAsia" w:ascii="宋体" w:hAnsi="宋体" w:cs="宋体"/>
          <w:color w:val="auto"/>
          <w:sz w:val="24"/>
          <w:highlight w:val="none"/>
        </w:rPr>
        <w:t xml:space="preserve">分，能满足18个工作日出具原始报告的得1分。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注：投标时提供拥有数据库存储及计算能力等相关证明材料</w:t>
      </w:r>
      <w:r>
        <w:rPr>
          <w:rFonts w:hint="eastAsia" w:ascii="宋体" w:hAnsi="宋体" w:eastAsia="宋体" w:cs="宋体"/>
          <w:color w:val="auto"/>
          <w:sz w:val="24"/>
          <w:szCs w:val="24"/>
          <w:highlight w:val="none"/>
        </w:rPr>
        <w:t xml:space="preserve">原件扫描件上传系统并签章</w:t>
      </w:r>
      <w:r>
        <w:rPr>
          <w:rFonts w:hint="eastAsia" w:ascii="宋体"/>
          <w:color w:val="auto"/>
          <w:sz w:val="24"/>
          <w:highlight w:val="none"/>
        </w:rPr>
        <w:t xml:space="preserve">，不提供或提供不符合要求均不得分</w:t>
      </w:r>
      <w:r>
        <w:rPr>
          <w:rFonts w:hint="eastAsia" w:ascii="宋体" w:hAnsi="宋体" w:cs="宋体"/>
          <w:color w:val="auto"/>
          <w:sz w:val="24"/>
          <w:highlight w:val="none"/>
        </w:rPr>
        <w:t xml:space="preserve">。</w:t>
      </w:r>
      <w:r/>
    </w:p>
    <w:p>
      <w:pPr>
        <w:ind w:left="-50" w:firstLine="480"/>
        <w:spacing w:line="360" w:lineRule="auto"/>
        <w:rPr>
          <w:rFonts w:ascii="宋体" w:hAnsi="宋体" w:cs="宋体"/>
          <w:b/>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b w:val="0"/>
          <w:bCs/>
          <w:color w:val="auto"/>
          <w:sz w:val="24"/>
          <w:highlight w:val="none"/>
        </w:rPr>
        <w:t xml:space="preserve">其他服务承诺（</w:t>
      </w:r>
      <w:r>
        <w:rPr>
          <w:rFonts w:hint="eastAsia" w:ascii="宋体" w:hAnsi="宋体" w:eastAsia="宋体" w:cs="宋体"/>
          <w:b w:val="0"/>
          <w:bCs/>
          <w:color w:val="auto"/>
          <w:sz w:val="24"/>
          <w:highlight w:val="none"/>
        </w:rPr>
        <w:t xml:space="preserve">3</w:t>
      </w:r>
      <w:r>
        <w:rPr>
          <w:rFonts w:hint="eastAsia" w:ascii="宋体" w:hAnsi="宋体" w:cs="宋体"/>
          <w:b w:val="0"/>
          <w:bCs/>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1）能独立完成</w:t>
      </w: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rPr>
        <w:t xml:space="preserve">检测项目</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rPr>
        <w:t xml:space="preserve">检测内容。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Theme="minorEastAsia" w:hAnsiTheme="minorEastAsia"/>
          <w:color w:val="auto"/>
          <w:sz w:val="24"/>
          <w:highlight w:val="none"/>
        </w:rPr>
        <w:t xml:space="preserve">向招标方提供项目相关的技术</w:t>
      </w:r>
      <w:r>
        <w:rPr>
          <w:rFonts w:hint="eastAsia" w:eastAsia="宋体" w:asciiTheme="minorEastAsia" w:hAnsiTheme="minorEastAsia"/>
          <w:color w:val="auto"/>
          <w:sz w:val="24"/>
          <w:highlight w:val="none"/>
        </w:rPr>
        <w:t xml:space="preserve">增值</w:t>
      </w:r>
      <w:r>
        <w:rPr>
          <w:rFonts w:hint="eastAsia" w:asciiTheme="minorEastAsia" w:hAnsiTheme="minorEastAsia"/>
          <w:color w:val="auto"/>
          <w:sz w:val="24"/>
          <w:highlight w:val="none"/>
        </w:rPr>
        <w:t xml:space="preserve">培训服务。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eastAsia="宋体" w:cs="宋体"/>
          <w:color w:val="auto"/>
          <w:sz w:val="24"/>
          <w:highlight w:val="none"/>
        </w:rPr>
        <w:t xml:space="preserve">特殊情况能予以加急处理。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上述三项内容每能承诺满足一项得</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rPr>
        <w:t xml:space="preserve">分，最高得</w:t>
      </w:r>
      <w:r>
        <w:rPr>
          <w:rFonts w:hint="eastAsia" w:ascii="宋体" w:hAnsi="宋体" w:eastAsia="宋体" w:cs="宋体"/>
          <w:color w:val="auto"/>
          <w:sz w:val="24"/>
          <w:highlight w:val="none"/>
        </w:rPr>
        <w:t xml:space="preserve">3</w:t>
      </w:r>
      <w:r>
        <w:rPr>
          <w:rFonts w:hint="eastAsia" w:ascii="宋体" w:hAnsi="宋体" w:cs="宋体"/>
          <w:color w:val="auto"/>
          <w:sz w:val="24"/>
          <w:highlight w:val="none"/>
        </w:rPr>
        <w:t xml:space="preserve">分，承诺书自拟，不符合要求不得分。</w:t>
      </w:r>
      <w:r/>
    </w:p>
    <w:p>
      <w:pPr>
        <w:ind w:firstLine="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三、技术标部分（</w:t>
      </w:r>
      <w:r>
        <w:rPr>
          <w:rFonts w:hint="eastAsia" w:ascii="宋体" w:hAnsi="宋体" w:cs="宋体"/>
          <w:b/>
          <w:bCs/>
          <w:color w:val="auto"/>
          <w:sz w:val="24"/>
          <w:highlight w:val="none"/>
        </w:rPr>
        <w:t xml:space="preserve">50</w:t>
      </w:r>
      <w:r>
        <w:rPr>
          <w:rFonts w:hint="eastAsia" w:ascii="宋体" w:hAnsi="宋体" w:eastAsia="宋体" w:cs="宋体"/>
          <w:b/>
          <w:bCs/>
          <w:color w:val="auto"/>
          <w:sz w:val="24"/>
          <w:szCs w:val="24"/>
          <w:highlight w:val="none"/>
        </w:rPr>
        <w:t xml:space="preserve">分）</w:t>
      </w:r>
      <w:r/>
    </w:p>
    <w:p>
      <w:pPr>
        <w:pStyle w:val="1192"/>
        <w:ind w:firstLine="240"/>
        <w:spacing w:after="0" w:line="360" w:lineRule="auto"/>
        <w:rPr>
          <w:rFonts w:hAnsi="宋体" w:cs="宋体"/>
          <w:color w:val="auto"/>
          <w:highlight w:val="none"/>
        </w:rPr>
      </w:pPr>
      <w:r>
        <w:rPr>
          <w:rFonts w:hint="eastAsia" w:hAnsi="宋体" w:cs="宋体"/>
          <w:color w:val="auto"/>
          <w:highlight w:val="none"/>
        </w:rPr>
        <w:t xml:space="preserve">1、项目整体服务方案（</w:t>
      </w:r>
      <w:r>
        <w:rPr>
          <w:rFonts w:hint="eastAsia" w:hAnsi="宋体" w:eastAsia="宋体" w:cs="宋体"/>
          <w:color w:val="auto"/>
          <w:highlight w:val="none"/>
        </w:rPr>
        <w:t xml:space="preserve">8</w:t>
      </w:r>
      <w:r>
        <w:rPr>
          <w:rFonts w:hint="eastAsia" w:hAnsi="宋体" w:cs="宋体"/>
          <w:color w:val="auto"/>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针对项目的服务方案详细完整、针对性强、方案目标明确、贴合医院实际情况，该项可得</w:t>
      </w:r>
      <w:r>
        <w:rPr>
          <w:rFonts w:hint="eastAsia" w:ascii="宋体" w:hAnsi="宋体" w:eastAsia="宋体" w:cs="宋体"/>
          <w:color w:val="auto"/>
          <w:sz w:val="24"/>
          <w:highlight w:val="none"/>
        </w:rPr>
        <w:t xml:space="preserve">8</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针对项目的服务方案较为完整、针对性较强、方案目标较明确、贴合医院实际情况较高，该项可得</w:t>
      </w:r>
      <w:r>
        <w:rPr>
          <w:rFonts w:hint="eastAsia" w:ascii="宋体" w:hAnsi="宋体" w:eastAsia="宋体" w:cs="宋体"/>
          <w:color w:val="auto"/>
          <w:sz w:val="24"/>
          <w:highlight w:val="none"/>
        </w:rPr>
        <w:t xml:space="preserve">6</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 针对项目的服务方案较详细完整、针对性一般、方案目标一般、与医院实际情况大致相符，该项可得</w:t>
      </w:r>
      <w:r>
        <w:rPr>
          <w:rFonts w:hint="eastAsia" w:ascii="宋体" w:hAnsi="宋体" w:eastAsia="宋体" w:cs="宋体"/>
          <w:color w:val="auto"/>
          <w:sz w:val="24"/>
          <w:highlight w:val="none"/>
        </w:rPr>
        <w:t xml:space="preserve">4</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针对项目的服务方案简单、针对性不强、方案目标简单、与医院实际情况不太相符，该项可得</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针对项目无服务方案与针对性、无方案目标、与医院实际情况不符合或未提供执行方案，该项不得分；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2、增值性服务方案（</w:t>
      </w:r>
      <w:r>
        <w:rPr>
          <w:rFonts w:hint="eastAsia" w:ascii="宋体" w:hAnsi="宋体" w:eastAsia="宋体" w:cs="宋体"/>
          <w:color w:val="auto"/>
          <w:sz w:val="24"/>
          <w:highlight w:val="none"/>
        </w:rPr>
        <w:t xml:space="preserve">15</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（1）样本库/项目管理团队培训（</w:t>
      </w:r>
      <w:r>
        <w:rPr>
          <w:rFonts w:hint="eastAsia" w:ascii="宋体" w:hAnsi="宋体" w:eastAsia="宋体" w:cs="宋体"/>
          <w:color w:val="auto"/>
          <w:sz w:val="24"/>
          <w:highlight w:val="none"/>
        </w:rPr>
        <w:t xml:space="preserve">5</w:t>
      </w:r>
      <w:r>
        <w:rPr>
          <w:rFonts w:hint="eastAsia" w:ascii="宋体" w:hAnsi="宋体" w:cs="宋体"/>
          <w:color w:val="auto"/>
          <w:sz w:val="24"/>
          <w:highlight w:val="none"/>
        </w:rPr>
        <w:t xml:space="preserve">分）：培训内容包含专业样本库管理系统的使用，LIMS 系统的使用、实验安排、样本进展追踪等工作。建立起标准化、规范化、流程化的样本管理体系和实验室管理体系。</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方案详实、阐述清晰、重点突出、科学合理、可操作性强，切合项目实际的得</w:t>
      </w:r>
      <w:r>
        <w:rPr>
          <w:rFonts w:hint="eastAsia" w:ascii="宋体" w:hAnsi="宋体" w:eastAsia="宋体" w:cs="宋体"/>
          <w:color w:val="auto"/>
          <w:sz w:val="24"/>
          <w:highlight w:val="none"/>
        </w:rPr>
        <w:t xml:space="preserve">5</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方案阐述合理，部分内容表述有所欠缺，但总体符合项目实际、针对性较强，基本具有可操作性的得</w:t>
      </w:r>
      <w:r>
        <w:rPr>
          <w:rFonts w:hint="eastAsia" w:ascii="宋体" w:hAnsi="宋体" w:eastAsia="宋体" w:cs="宋体"/>
          <w:color w:val="auto"/>
          <w:sz w:val="24"/>
          <w:highlight w:val="none"/>
        </w:rPr>
        <w:t xml:space="preserve">4</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方案与本项目实际情况存在一定偏差，但内容总体合理的得</w:t>
      </w:r>
      <w:r>
        <w:rPr>
          <w:rFonts w:hint="eastAsia" w:ascii="宋体" w:hAnsi="宋体" w:eastAsia="宋体" w:cs="宋体"/>
          <w:color w:val="auto"/>
          <w:sz w:val="24"/>
          <w:highlight w:val="none"/>
        </w:rPr>
        <w:t xml:space="preserve">3</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方案简单、针对性不强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与医院实际情况不太相符，该项可得</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未提供方案或方案不合理的本项不得分。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rPr>
        <w:t xml:space="preserve">）生信团队培训（</w:t>
      </w:r>
      <w:r>
        <w:rPr>
          <w:rFonts w:hint="eastAsia" w:ascii="宋体" w:hAnsi="宋体" w:eastAsia="宋体" w:cs="宋体"/>
          <w:color w:val="auto"/>
          <w:sz w:val="24"/>
          <w:highlight w:val="none"/>
        </w:rPr>
        <w:t xml:space="preserve">5</w:t>
      </w:r>
      <w:r>
        <w:rPr>
          <w:rFonts w:hint="eastAsia" w:ascii="宋体" w:hAnsi="宋体" w:cs="宋体"/>
          <w:color w:val="auto"/>
          <w:sz w:val="24"/>
          <w:highlight w:val="none"/>
        </w:rPr>
        <w:t xml:space="preserve">分）：生信培训内容包含数据质控、比对和变异检测、变异过滤原则、变异格式讲解、变异危害性注释等方面。</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方案详实、阐述清晰、重点突出、科学合理、可操作性强，切合项目实际的得</w:t>
      </w:r>
      <w:r>
        <w:rPr>
          <w:rFonts w:hint="eastAsia" w:ascii="宋体" w:hAnsi="宋体" w:eastAsia="宋体" w:cs="宋体"/>
          <w:color w:val="auto"/>
          <w:sz w:val="24"/>
          <w:highlight w:val="none"/>
        </w:rPr>
        <w:t xml:space="preserve">5</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方案阐述合理，部分内容表述有所欠缺，但总体符合项目实际、针对性较强，基本具有可操作性的得</w:t>
      </w:r>
      <w:r>
        <w:rPr>
          <w:rFonts w:hint="eastAsia" w:ascii="宋体" w:hAnsi="宋体" w:eastAsia="宋体" w:cs="宋体"/>
          <w:color w:val="auto"/>
          <w:sz w:val="24"/>
          <w:highlight w:val="none"/>
        </w:rPr>
        <w:t xml:space="preserve">4</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方案与本项目实际情况存在一定偏差，但内容总体合理的得</w:t>
      </w:r>
      <w:r>
        <w:rPr>
          <w:rFonts w:hint="eastAsia" w:ascii="宋体" w:hAnsi="宋体" w:eastAsia="宋体" w:cs="宋体"/>
          <w:color w:val="auto"/>
          <w:sz w:val="24"/>
          <w:highlight w:val="none"/>
        </w:rPr>
        <w:t xml:space="preserve">3</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方案简单、针对性不强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与医院实际情况不太相符，该项可得</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未提供方案或方案不合理的本项不得分。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eastAsia="宋体" w:cs="宋体"/>
          <w:color w:val="auto"/>
          <w:sz w:val="24"/>
          <w:highlight w:val="none"/>
        </w:rPr>
        <w:t xml:space="preserve">3</w:t>
      </w:r>
      <w:r>
        <w:rPr>
          <w:rFonts w:hint="eastAsia" w:ascii="宋体" w:hAnsi="宋体" w:cs="宋体"/>
          <w:color w:val="auto"/>
          <w:sz w:val="24"/>
          <w:highlight w:val="none"/>
        </w:rPr>
        <w:t xml:space="preserve">）临床医生分子诊断能力培训（</w:t>
      </w:r>
      <w:r>
        <w:rPr>
          <w:rFonts w:hint="eastAsia" w:ascii="宋体" w:hAnsi="宋体" w:eastAsia="宋体" w:cs="宋体"/>
          <w:color w:val="auto"/>
          <w:sz w:val="24"/>
          <w:highlight w:val="none"/>
        </w:rPr>
        <w:t xml:space="preserve">5</w:t>
      </w:r>
      <w:r>
        <w:rPr>
          <w:rFonts w:hint="eastAsia" w:ascii="宋体" w:hAnsi="宋体" w:cs="宋体"/>
          <w:color w:val="auto"/>
          <w:sz w:val="24"/>
          <w:highlight w:val="none"/>
        </w:rPr>
        <w:t xml:space="preserve">分）：为院内临床科室提供生殖遗传基础理论、相关检测技术原理及临床应用、典型案例分享及遗传咨询、专家指南解读等，帮助医生临床全面提升遗传病基因诊断相关知识和能力。</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方案详实、阐述清晰、重点突出、科学合理、可操作性强，切合项目实际的得</w:t>
      </w:r>
      <w:r>
        <w:rPr>
          <w:rFonts w:hint="eastAsia" w:ascii="宋体" w:hAnsi="宋体" w:eastAsia="宋体" w:cs="宋体"/>
          <w:color w:val="auto"/>
          <w:sz w:val="24"/>
          <w:highlight w:val="none"/>
        </w:rPr>
        <w:t xml:space="preserve">5</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方案阐述合理，部分内容表述有所欠缺，但总体符合项目实际、针对性较强，基本具有可操作性的得</w:t>
      </w:r>
      <w:r>
        <w:rPr>
          <w:rFonts w:hint="eastAsia" w:ascii="宋体" w:hAnsi="宋体" w:eastAsia="宋体" w:cs="宋体"/>
          <w:color w:val="auto"/>
          <w:sz w:val="24"/>
          <w:highlight w:val="none"/>
        </w:rPr>
        <w:t xml:space="preserve">4</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方案与本项目实际情况存在一定偏差，但内容总体合理的得</w:t>
      </w:r>
      <w:r>
        <w:rPr>
          <w:rFonts w:hint="eastAsia" w:ascii="宋体" w:hAnsi="宋体" w:eastAsia="宋体" w:cs="宋体"/>
          <w:color w:val="auto"/>
          <w:sz w:val="24"/>
          <w:highlight w:val="none"/>
        </w:rPr>
        <w:t xml:space="preserve">3</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方案简单、针对性不强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与医院实际情况不太相符，该项可得</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未提供方案或方案不合理的本项不得分。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3、服务质量保障措施（</w:t>
      </w:r>
      <w:r>
        <w:rPr>
          <w:rFonts w:hint="eastAsia" w:ascii="宋体" w:hAnsi="宋体" w:eastAsia="宋体" w:cs="宋体"/>
          <w:color w:val="auto"/>
          <w:sz w:val="24"/>
          <w:highlight w:val="none"/>
        </w:rPr>
        <w:t xml:space="preserve">7</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针对本项目的特点、重点和难点有针对性、可操作性强，质量管理措施详细完整该项可得</w:t>
      </w:r>
      <w:r>
        <w:rPr>
          <w:rFonts w:hint="eastAsia" w:ascii="宋体" w:hAnsi="宋体" w:eastAsia="宋体" w:cs="宋体"/>
          <w:color w:val="auto"/>
          <w:sz w:val="24"/>
          <w:highlight w:val="none"/>
        </w:rPr>
        <w:t xml:space="preserve">7</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针对本项的特点、重点和难点的针对性和可操作性一般，质量管理措施一般该项可得</w:t>
      </w:r>
      <w:r>
        <w:rPr>
          <w:rFonts w:hint="eastAsia" w:ascii="宋体" w:hAnsi="宋体" w:eastAsia="宋体" w:cs="宋体"/>
          <w:color w:val="auto"/>
          <w:sz w:val="24"/>
          <w:highlight w:val="none"/>
        </w:rPr>
        <w:t xml:space="preserve">4</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针对本项的特点、重点和难点的针对性和可操作性简单，质量管理措施简单该项可得</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针对本项的特点、重点和难点无针对性和可操作性，质量管理措施不尽合理或未提供任何执行方案该项不得分；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4、提供日常和遇突发事件应急事件的保证措施（</w:t>
      </w:r>
      <w:r>
        <w:rPr>
          <w:rFonts w:hint="eastAsia" w:ascii="宋体" w:hAnsi="宋体" w:eastAsia="宋体" w:cs="宋体"/>
          <w:color w:val="auto"/>
          <w:sz w:val="24"/>
          <w:highlight w:val="none"/>
        </w:rPr>
        <w:t xml:space="preserve">7</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针对本项目日常和突发事件应急事件的保证措施详细完整该项可得</w:t>
      </w:r>
      <w:r>
        <w:rPr>
          <w:rFonts w:hint="eastAsia" w:ascii="宋体" w:hAnsi="宋体" w:eastAsia="宋体" w:cs="宋体"/>
          <w:color w:val="auto"/>
          <w:sz w:val="24"/>
          <w:highlight w:val="none"/>
        </w:rPr>
        <w:t xml:space="preserve">7</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针对本项目日常和突发事件应急事件的保证措施一般该项可得</w:t>
      </w:r>
      <w:r>
        <w:rPr>
          <w:rFonts w:hint="eastAsia" w:ascii="宋体" w:hAnsi="宋体" w:eastAsia="宋体" w:cs="宋体"/>
          <w:color w:val="auto"/>
          <w:sz w:val="24"/>
          <w:highlight w:val="none"/>
        </w:rPr>
        <w:t xml:space="preserve">4</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针对本项目日常和突发事件应急事件的保证措施简单粗糙，该项可得</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针对本项的日常和突发事件应急事件的保证措施不尽合理或未提供任何执行方案该项不得分； </w:t>
      </w:r>
      <w:r/>
    </w:p>
    <w:p>
      <w:pPr>
        <w:ind w:firstLine="24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rPr>
        <w:t xml:space="preserve">具备完整的样本管理系统和NGS 流程管理系统（</w:t>
      </w:r>
      <w:r>
        <w:rPr>
          <w:rFonts w:hint="eastAsia" w:ascii="宋体" w:hAnsi="宋体" w:eastAsia="宋体" w:cs="宋体"/>
          <w:color w:val="auto"/>
          <w:sz w:val="24"/>
          <w:highlight w:val="none"/>
        </w:rPr>
        <w:t xml:space="preserve">7</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具备完整的管理系统，内容科学合理，切合项目实际的得</w:t>
      </w:r>
      <w:r>
        <w:rPr>
          <w:rFonts w:hint="eastAsia" w:ascii="宋体" w:hAnsi="宋体" w:eastAsia="宋体" w:cs="宋体"/>
          <w:color w:val="auto"/>
          <w:sz w:val="24"/>
          <w:highlight w:val="none"/>
        </w:rPr>
        <w:t xml:space="preserve">7</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管理系统有所欠缺，但总体符合项目实际，基本具有可操作性的得</w:t>
      </w:r>
      <w:r>
        <w:rPr>
          <w:rFonts w:hint="eastAsia" w:ascii="宋体" w:hAnsi="宋体" w:eastAsia="宋体" w:cs="宋体"/>
          <w:color w:val="auto"/>
          <w:sz w:val="24"/>
          <w:highlight w:val="none"/>
        </w:rPr>
        <w:t xml:space="preserve">4</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管理系统与本项目实际情况存在一定偏差，但内容总体合理的得</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未提供管理系统或方案的本项不合理的本项不得分。</w:t>
      </w:r>
      <w:r/>
    </w:p>
    <w:p>
      <w:pPr>
        <w:ind w:firstLine="24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rPr>
        <w:t xml:space="preserve">定期提供实验技术培训、高通量测序数据分析、变异医学解读能力培训的服务方案（</w:t>
      </w:r>
      <w:r>
        <w:rPr>
          <w:rFonts w:hint="eastAsia" w:ascii="宋体" w:hAnsi="宋体" w:eastAsia="宋体" w:cs="宋体"/>
          <w:color w:val="auto"/>
          <w:sz w:val="24"/>
          <w:highlight w:val="none"/>
        </w:rPr>
        <w:t xml:space="preserve">6</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方案详实、阐述清晰、重点突出、科学合理、可操作性强，切合项目实际的得</w:t>
      </w:r>
      <w:r>
        <w:rPr>
          <w:rFonts w:hint="eastAsia" w:ascii="宋体" w:hAnsi="宋体" w:eastAsia="宋体" w:cs="宋体"/>
          <w:color w:val="auto"/>
          <w:sz w:val="24"/>
          <w:highlight w:val="none"/>
        </w:rPr>
        <w:t xml:space="preserve">6</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方案阐述合理，部分内容表述有所欠缺，但总体符合项目实际、针对性较强，基本具有可操作性的得</w:t>
      </w:r>
      <w:r>
        <w:rPr>
          <w:rFonts w:hint="eastAsia" w:ascii="宋体" w:hAnsi="宋体" w:eastAsia="宋体" w:cs="宋体"/>
          <w:color w:val="auto"/>
          <w:sz w:val="24"/>
          <w:highlight w:val="none"/>
        </w:rPr>
        <w:t xml:space="preserve">4</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方案与本项目实际情况存在一定偏差，但内容总体合理的得</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rPr>
        <w:t xml:space="preserve">分；</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未提供方案或方案不合理的本项不得分。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w:t>
      </w:r>
      <w:bookmarkEnd w:id="141"/>
      <w:r/>
      <w:bookmarkEnd w:id="142"/>
      <w:r/>
      <w:bookmarkEnd w:id="143"/>
      <w:r>
        <w:rPr>
          <w:rFonts w:hint="eastAsia" w:ascii="宋体" w:hAnsi="宋体" w:eastAsia="宋体" w:cs="宋体"/>
          <w:bCs/>
          <w:color w:val="auto"/>
          <w:sz w:val="36"/>
          <w:szCs w:val="36"/>
          <w:highlight w:val="none"/>
        </w:rPr>
        <w:t xml:space="preserve">投标文件内容与格式</w:t>
      </w:r>
      <w:r/>
    </w:p>
    <w:p>
      <w:pPr>
        <w:pStyle w:val="1151"/>
        <w:ind w:firstLine="602"/>
        <w:spacing w:before="0" w:after="0"/>
        <w:rPr>
          <w:rFonts w:hint="eastAsia" w:ascii="宋体" w:hAnsi="宋体" w:cs="宋体"/>
          <w:b/>
          <w:color w:val="auto"/>
          <w:sz w:val="30"/>
          <w:szCs w:val="30"/>
          <w:highlight w:val="none"/>
        </w:rPr>
      </w:pPr>
      <w:r/>
      <w:bookmarkStart w:id="144" w:name="_Hlt26955039"/>
      <w:r/>
      <w:bookmarkEnd w:id="144"/>
      <w:r/>
      <w:bookmarkStart w:id="145" w:name="_Hlt26671244"/>
      <w:r/>
      <w:bookmarkEnd w:id="145"/>
      <w:r>
        <w:rPr>
          <w:rFonts w:hint="eastAsia" w:ascii="宋体" w:hAnsi="宋体" w:cs="宋体"/>
          <w:b/>
          <w:color w:val="auto"/>
          <w:sz w:val="30"/>
          <w:szCs w:val="30"/>
          <w:highlight w:val="none"/>
        </w:rPr>
        <w:t xml:space="preserve">第一部分投标文件内容</w:t>
      </w:r>
      <w:r/>
    </w:p>
    <w:p>
      <w:pPr>
        <w:pStyle w:val="1151"/>
        <w:ind w:firstLine="0"/>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一、资格证明文件</w:t>
      </w:r>
      <w:r/>
    </w:p>
    <w:tbl>
      <w:tblPr>
        <w:tblStyle w:val="723"/>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687"/>
      </w:tblGrid>
      <w:tr>
        <w:trPr>
          <w:jc w:val="center"/>
          <w:trHeight w:val="404"/>
        </w:trPr>
        <w:tc>
          <w:tcPr>
            <w:tcW w:w="719" w:type="dxa"/>
            <w:vAlign w:val="center"/>
            <w:textDirection w:val="lrTb"/>
            <w:noWrap w:val="false"/>
          </w:tcPr>
          <w:p>
            <w:pPr>
              <w:pStyle w:val="1151"/>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51"/>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687" w:type="dxa"/>
            <w:vAlign w:val="center"/>
            <w:textDirection w:val="lrTb"/>
            <w:noWrap w:val="false"/>
          </w:tcPr>
          <w:p>
            <w:pPr>
              <w:pStyle w:val="1151"/>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51"/>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51"/>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687" w:type="dxa"/>
            <w:vAlign w:val="center"/>
            <w:vMerge w:val="restart"/>
            <w:textDirection w:val="lrTb"/>
            <w:noWrap w:val="false"/>
          </w:tcPr>
          <w:p>
            <w:pPr>
              <w:pStyle w:val="1151"/>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51"/>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51"/>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687" w:type="dxa"/>
            <w:vAlign w:val="center"/>
            <w:vMerge w:val="continue"/>
            <w:textDirection w:val="lrTb"/>
            <w:noWrap w:val="false"/>
          </w:tcPr>
          <w:p>
            <w:pPr>
              <w:pStyle w:val="115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51"/>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r/>
          </w:p>
        </w:tc>
        <w:tc>
          <w:tcPr>
            <w:tcW w:w="2687" w:type="dxa"/>
            <w:vAlign w:val="center"/>
            <w:vMerge w:val="continue"/>
            <w:textDirection w:val="lrTb"/>
            <w:noWrap w:val="false"/>
          </w:tcPr>
          <w:p>
            <w:pPr>
              <w:pStyle w:val="115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51"/>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51"/>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2024年度或2025年度的审计报告和所附已审财务报告（投标人如是自然人情形的，没有经审计的财务报告的，可以提供银行出具的资信证明）</w:t>
            </w:r>
            <w:r>
              <w:rPr>
                <w:rStyle w:val="844"/>
                <w:rFonts w:hint="eastAsia" w:ascii="宋体" w:hAnsi="宋体" w:eastAsia="宋体" w:cs="宋体"/>
                <w:color w:val="auto"/>
                <w:highlight w:val="none"/>
              </w:rPr>
              <w:t xml:space="preserve">。</w:t>
            </w:r>
            <w:r/>
          </w:p>
        </w:tc>
        <w:tc>
          <w:tcPr>
            <w:tcW w:w="2687" w:type="dxa"/>
            <w:vAlign w:val="center"/>
            <w:vMerge w:val="continue"/>
            <w:textDirection w:val="lrTb"/>
            <w:noWrap w:val="false"/>
          </w:tcPr>
          <w:p>
            <w:pPr>
              <w:pStyle w:val="115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151"/>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51"/>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687" w:type="dxa"/>
            <w:vAlign w:val="center"/>
            <w:vMerge w:val="continue"/>
            <w:textDirection w:val="lrTb"/>
            <w:noWrap w:val="false"/>
          </w:tcPr>
          <w:p>
            <w:pPr>
              <w:pStyle w:val="115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151"/>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51"/>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687" w:type="dxa"/>
            <w:vAlign w:val="center"/>
            <w:vMerge w:val="continue"/>
            <w:textDirection w:val="lrTb"/>
            <w:noWrap w:val="false"/>
          </w:tcPr>
          <w:p>
            <w:pPr>
              <w:pStyle w:val="115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0"/>
        </w:trPr>
        <w:tc>
          <w:tcPr>
            <w:tcW w:w="719" w:type="dxa"/>
            <w:vAlign w:val="center"/>
            <w:textDirection w:val="lrTb"/>
            <w:noWrap w:val="false"/>
          </w:tcPr>
          <w:p>
            <w:pPr>
              <w:pStyle w:val="1151"/>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51"/>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687" w:type="dxa"/>
            <w:vAlign w:val="center"/>
            <w:vMerge w:val="continue"/>
            <w:textDirection w:val="lrTb"/>
            <w:noWrap w:val="false"/>
          </w:tcPr>
          <w:p>
            <w:pPr>
              <w:pStyle w:val="115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07"/>
        </w:trPr>
        <w:tc>
          <w:tcPr>
            <w:tcW w:w="719" w:type="dxa"/>
            <w:vAlign w:val="center"/>
            <w:textDirection w:val="lrTb"/>
            <w:noWrap w:val="false"/>
          </w:tcPr>
          <w:p>
            <w:pPr>
              <w:pStyle w:val="1151"/>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51"/>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满足中小企业政策的证明文件。</w:t>
            </w:r>
            <w:r/>
          </w:p>
        </w:tc>
        <w:tc>
          <w:tcPr>
            <w:tcW w:w="2687" w:type="dxa"/>
            <w:vAlign w:val="center"/>
            <w:textDirection w:val="lrTb"/>
            <w:noWrap w:val="false"/>
          </w:tcPr>
          <w:p>
            <w:pPr>
              <w:pStyle w:val="1151"/>
              <w:ind w:firstLine="0"/>
              <w:spacing w:before="0" w:after="0"/>
              <w:rPr>
                <w:rFonts w:hint="eastAsia"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49"/>
        </w:trPr>
        <w:tc>
          <w:tcPr>
            <w:tcW w:w="719" w:type="dxa"/>
            <w:vAlign w:val="center"/>
            <w:textDirection w:val="lrTb"/>
            <w:noWrap w:val="false"/>
          </w:tcPr>
          <w:p>
            <w:pPr>
              <w:pStyle w:val="1151"/>
              <w:ind w:firstLine="0"/>
              <w:jc w:val="center"/>
              <w:spacing w:before="0" w:after="0"/>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ind w:firstLine="480"/>
              <w:spacing w:line="360" w:lineRule="auto"/>
              <w:rPr>
                <w:rFonts w:ascii="宋体" w:hAnsi="宋体" w:cs="宋体"/>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（1）投标供应商必须具备有效期内的《医疗机构执业许可证》复印件加盖公章，所列“诊疗科目”能承担本项目的服务内容；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（2）具备国家卫健委（原卫生部、卫计委）或省级委托市级临床检验中心核发的《临床基因扩增检验实验室—技术验收合格证书》或批准文件；</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color w:val="auto"/>
                <w:sz w:val="24"/>
                <w:szCs w:val="24"/>
                <w:highlight w:val="none"/>
              </w:rPr>
              <w:t xml:space="preserve">（3）由于本项目的特殊性质、</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国家安全和国家秘密，本项目</w:t>
            </w:r>
            <w:r>
              <w:rPr>
                <w:rFonts w:hint="eastAsia" w:ascii="宋体" w:hAnsi="宋体" w:cs="宋体"/>
                <w:bCs/>
                <w:color w:val="auto"/>
                <w:sz w:val="24"/>
                <w:szCs w:val="24"/>
                <w:highlight w:val="none"/>
              </w:rPr>
              <w:t xml:space="preserve">不接受外资企业（含具有外资背景的企业）参与投标</w:t>
            </w:r>
            <w:r>
              <w:rPr>
                <w:rFonts w:hint="eastAsia" w:ascii="宋体" w:hAnsi="宋体" w:eastAsia="宋体" w:cs="宋体"/>
                <w:bCs/>
                <w:color w:val="auto"/>
                <w:sz w:val="24"/>
                <w:szCs w:val="24"/>
                <w:highlight w:val="none"/>
              </w:rPr>
              <w:t xml:space="preserve">，提供非外资企业、非外资背景企业的书面声明。</w:t>
            </w:r>
            <w:r/>
          </w:p>
        </w:tc>
        <w:tc>
          <w:tcPr>
            <w:tcW w:w="2687" w:type="dxa"/>
            <w:vAlign w:val="center"/>
            <w:textDirection w:val="lrTb"/>
            <w:noWrap w:val="false"/>
          </w:tcPr>
          <w:p>
            <w:pPr>
              <w:pStyle w:val="1151"/>
              <w:ind w:firstLine="0"/>
              <w:spacing w:before="0" w:after="0"/>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上述资格证明文件第9项，如本项目有特定资格要求的（详见第一章《投标邀请》），须提供相应的特定资格证明文件。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p>
      <w:pPr>
        <w:pStyle w:val="751"/>
        <w:rPr>
          <w:color w:val="auto"/>
          <w:highlight w:val="none"/>
        </w:rPr>
      </w:pPr>
      <w:r>
        <w:rPr>
          <w:color w:val="auto"/>
          <w:highlight w:val="none"/>
        </w:rPr>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5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095" w:type="dxa"/>
            <w:vAlign w:val="center"/>
            <w:textDirection w:val="lrTb"/>
            <w:noWrap w:val="false"/>
          </w:tcPr>
          <w:p>
            <w:pPr>
              <w:pStyle w:val="115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5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567"/>
        </w:trPr>
        <w:tc>
          <w:tcPr>
            <w:tcW w:w="823" w:type="dxa"/>
            <w:vAlign w:val="center"/>
            <w:textDirection w:val="lrTb"/>
            <w:noWrap w:val="false"/>
          </w:tcPr>
          <w:p>
            <w:pPr>
              <w:pStyle w:val="11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095" w:type="dxa"/>
            <w:vAlign w:val="center"/>
            <w:textDirection w:val="lrTb"/>
            <w:noWrap w:val="false"/>
          </w:tcPr>
          <w:p>
            <w:pPr>
              <w:pStyle w:val="115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1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商务符合性</w:t>
            </w:r>
            <w:r/>
          </w:p>
        </w:tc>
      </w:tr>
      <w:tr>
        <w:trPr>
          <w:cantSplit/>
          <w:jc w:val="center"/>
          <w:trHeight w:val="567"/>
        </w:trPr>
        <w:tc>
          <w:tcPr>
            <w:tcW w:w="823" w:type="dxa"/>
            <w:vAlign w:val="center"/>
            <w:textDirection w:val="lrTb"/>
            <w:noWrap w:val="false"/>
          </w:tcPr>
          <w:p>
            <w:pPr>
              <w:pStyle w:val="11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095" w:type="dxa"/>
            <w:vAlign w:val="center"/>
            <w:textDirection w:val="lrTb"/>
            <w:noWrap w:val="false"/>
          </w:tcPr>
          <w:p>
            <w:pPr>
              <w:pStyle w:val="115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承诺书（给定格式）</w:t>
            </w:r>
            <w:r/>
          </w:p>
        </w:tc>
        <w:tc>
          <w:tcPr>
            <w:tcW w:w="1979" w:type="dxa"/>
            <w:vAlign w:val="center"/>
            <w:vMerge w:val="continue"/>
            <w:textDirection w:val="lrTb"/>
            <w:noWrap w:val="false"/>
          </w:tcPr>
          <w:p>
            <w:pPr>
              <w:pStyle w:val="11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567"/>
        </w:trPr>
        <w:tc>
          <w:tcPr>
            <w:tcW w:w="823" w:type="dxa"/>
            <w:vAlign w:val="center"/>
            <w:textDirection w:val="lrTb"/>
            <w:noWrap w:val="false"/>
          </w:tcPr>
          <w:p>
            <w:pPr>
              <w:pStyle w:val="11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095" w:type="dxa"/>
            <w:vAlign w:val="center"/>
            <w:textDirection w:val="lrTb"/>
            <w:noWrap w:val="false"/>
          </w:tcPr>
          <w:p>
            <w:pPr>
              <w:pStyle w:val="115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开标一览表（给定格式）</w:t>
            </w:r>
            <w:r/>
          </w:p>
        </w:tc>
        <w:tc>
          <w:tcPr>
            <w:tcW w:w="1979" w:type="dxa"/>
            <w:vAlign w:val="center"/>
            <w:vMerge w:val="restart"/>
            <w:textDirection w:val="lrTb"/>
            <w:noWrap w:val="false"/>
          </w:tcPr>
          <w:p>
            <w:pPr>
              <w:pStyle w:val="11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报价符合性</w:t>
            </w:r>
            <w:r/>
          </w:p>
        </w:tc>
      </w:tr>
      <w:tr>
        <w:trPr>
          <w:cantSplit/>
          <w:jc w:val="center"/>
          <w:trHeight w:val="567"/>
        </w:trPr>
        <w:tc>
          <w:tcPr>
            <w:tcW w:w="823" w:type="dxa"/>
            <w:vAlign w:val="center"/>
            <w:textDirection w:val="lrTb"/>
            <w:noWrap w:val="false"/>
          </w:tcPr>
          <w:p>
            <w:pPr>
              <w:pStyle w:val="11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095" w:type="dxa"/>
            <w:vAlign w:val="center"/>
            <w:textDirection w:val="lrTb"/>
            <w:noWrap w:val="false"/>
          </w:tcPr>
          <w:p>
            <w:pPr>
              <w:pStyle w:val="115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分项报价表（给定格式）</w:t>
            </w:r>
            <w:r/>
          </w:p>
        </w:tc>
        <w:tc>
          <w:tcPr>
            <w:tcW w:w="1979" w:type="dxa"/>
            <w:vAlign w:val="center"/>
            <w:vMerge w:val="continue"/>
            <w:textDirection w:val="lrTb"/>
            <w:noWrap w:val="false"/>
          </w:tcPr>
          <w:p>
            <w:pPr>
              <w:pStyle w:val="11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567"/>
        </w:trPr>
        <w:tc>
          <w:tcPr>
            <w:tcW w:w="823" w:type="dxa"/>
            <w:vAlign w:val="center"/>
            <w:textDirection w:val="lrTb"/>
            <w:noWrap w:val="false"/>
          </w:tcPr>
          <w:p>
            <w:pPr>
              <w:pStyle w:val="11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095" w:type="dxa"/>
            <w:vAlign w:val="center"/>
            <w:textDirection w:val="lrTb"/>
            <w:noWrap w:val="false"/>
          </w:tcPr>
          <w:p>
            <w:pPr>
              <w:pStyle w:val="115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1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技术符合性</w:t>
            </w:r>
            <w:r/>
          </w:p>
        </w:tc>
      </w:tr>
      <w:tr>
        <w:trPr>
          <w:cantSplit/>
          <w:jc w:val="center"/>
          <w:trHeight w:val="567"/>
        </w:trPr>
        <w:tc>
          <w:tcPr>
            <w:tcW w:w="823" w:type="dxa"/>
            <w:vAlign w:val="center"/>
            <w:textDirection w:val="lrTb"/>
            <w:noWrap w:val="false"/>
          </w:tcPr>
          <w:p>
            <w:pPr>
              <w:pStyle w:val="11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095" w:type="dxa"/>
            <w:vAlign w:val="center"/>
            <w:textDirection w:val="lrTb"/>
            <w:noWrap w:val="false"/>
          </w:tcPr>
          <w:p>
            <w:pPr>
              <w:pStyle w:val="115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115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5</w:t>
      </w:r>
      <w:r>
        <w:rPr>
          <w:rFonts w:hint="eastAsia" w:ascii="宋体" w:hAnsi="宋体"/>
          <w:color w:val="auto"/>
          <w:sz w:val="24"/>
          <w:szCs w:val="24"/>
          <w:highlight w:val="none"/>
        </w:rPr>
        <w:t xml:space="preserve">项必须按要求全部提供（有给定格式的，必须按给定格式的要求正确填报并提供），否则投标文件无效。</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eastAsia="宋体" w:cs="Arial"/>
          <w:color w:val="auto"/>
          <w:sz w:val="24"/>
          <w:szCs w:val="24"/>
          <w:highlight w:val="none"/>
        </w:rPr>
        <w:t xml:space="preserve">6</w:t>
      </w:r>
      <w:r>
        <w:rPr>
          <w:rFonts w:hint="eastAsia" w:ascii="宋体" w:hAnsi="宋体" w:cs="Arial"/>
          <w:color w:val="auto"/>
          <w:sz w:val="24"/>
          <w:szCs w:val="24"/>
          <w:highlight w:val="none"/>
        </w:rPr>
        <w:t xml:space="preserve">项，《采购需求》中如有要求提供证明材料的，须按要求提供，否则投标文件无效。</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ind w:firstLine="480"/>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151"/>
        <w:ind w:firstLine="0"/>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jc w:val="left"/>
        <w:spacing w:line="360" w:lineRule="auto"/>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2715"/>
        <w:spacing w:line="360" w:lineRule="auto"/>
        <w:rPr>
          <w:rFonts w:hint="eastAsia" w:ascii="宋体" w:hAnsi="宋体" w:eastAsia="宋体" w:cs="宋体"/>
          <w:bCs/>
          <w:color w:val="auto"/>
          <w:sz w:val="28"/>
          <w:szCs w:val="28"/>
          <w:highlight w:val="none"/>
        </w:rPr>
      </w:pPr>
      <w:r/>
      <w:bookmarkStart w:id="146"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hint="eastAsia" w:ascii="宋体" w:hAnsi="宋体" w:eastAsia="宋体" w:cs="宋体"/>
          <w:bCs/>
          <w:color w:val="auto"/>
          <w:sz w:val="40"/>
          <w:szCs w:val="40"/>
          <w:highlight w:val="none"/>
        </w:rPr>
      </w:pPr>
      <w:r>
        <w:rPr>
          <w:rFonts w:hint="eastAsia" w:ascii="宋体" w:hAnsi="宋体" w:eastAsia="宋体" w:cs="宋体"/>
          <w:bCs/>
          <w:color w:val="auto"/>
          <w:sz w:val="40"/>
          <w:szCs w:val="40"/>
          <w:highlight w:val="none"/>
        </w:rPr>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20   年   月</w:t>
      </w:r>
      <w:bookmarkEnd w:id="146"/>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rPr>
          <w:rFonts w:hint="eastAsia"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11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50"/>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5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50"/>
        <w:ind w:firstLine="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50"/>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50"/>
        <w:ind w:firstLine="0"/>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50"/>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50"/>
        <w:numPr>
          <w:ilvl w:val="0"/>
          <w:numId w:val="11"/>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50"/>
        <w:numPr>
          <w:ilvl w:val="0"/>
          <w:numId w:val="11"/>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50"/>
        <w:numPr>
          <w:ilvl w:val="0"/>
          <w:numId w:val="11"/>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50"/>
        <w:numPr>
          <w:ilvl w:val="0"/>
          <w:numId w:val="11"/>
        </w:num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50"/>
        <w:ind w:firstLine="0"/>
        <w:rPr>
          <w:rFonts w:hint="eastAsia"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hint="eastAsia" w:ascii="宋体" w:hAnsi="宋体" w:eastAsia="宋体" w:cs="宋体"/>
          <w:bCs/>
          <w:color w:val="auto"/>
          <w:sz w:val="28"/>
          <w:szCs w:val="28"/>
          <w:highlight w:val="none"/>
        </w:rPr>
        <w:outlineLvl w:val="0"/>
      </w:pPr>
      <w:r/>
      <w:bookmarkStart w:id="147" w:name="报价方关于资格的声明函（格式）"/>
      <w:r/>
      <w:bookmarkEnd w:id="147"/>
      <w:r>
        <w:rPr>
          <w:rFonts w:hint="eastAsia" w:ascii="宋体" w:hAnsi="宋体" w:eastAsia="宋体" w:cs="宋体"/>
          <w:bCs/>
          <w:color w:val="auto"/>
          <w:sz w:val="28"/>
          <w:szCs w:val="28"/>
          <w:highlight w:val="none"/>
        </w:rPr>
        <w:t xml:space="preserve">资格声明函</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普信国际工程咨询有限公司：</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进行投标，并作如下声明</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六、投标函（给定格式）：</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致普信国际工程咨询有限公司：</w:t>
      </w:r>
      <w:r/>
    </w:p>
    <w:p>
      <w:pPr>
        <w:ind w:firstLine="480"/>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2"/>
        </w:numPr>
        <w:ind w:left="-105" w:firstLine="525"/>
        <w:spacing w:line="312"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我方愿意按照招标文件的一切要求，提供本项目的投标，投标报价见《开标一览表》。</w:t>
      </w:r>
      <w:r/>
    </w:p>
    <w:p>
      <w:pPr>
        <w:numPr>
          <w:ilvl w:val="0"/>
          <w:numId w:val="12"/>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145"/>
          <w:rFonts w:hint="eastAsia"/>
          <w:bCs/>
          <w:color w:val="auto"/>
          <w:highlight w:val="none"/>
        </w:rPr>
      </w:pPr>
      <w:r>
        <w:rPr>
          <w:rFonts w:hint="eastAsia" w:ascii="宋体" w:hAnsi="宋体" w:eastAsia="宋体" w:cs="宋体"/>
          <w:bCs/>
          <w:color w:val="auto"/>
          <w:sz w:val="24"/>
          <w:szCs w:val="24"/>
          <w:highlight w:val="none"/>
        </w:rPr>
        <w:t xml:space="preserve">我方愿意提供普信国际工程咨询有限公司在招标文件中要求的文件、资料。</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在此承诺：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2.本次投标没有借用别人资质，递交的投标文件内容真实、准确，没有使用虚假资质或虚假资料；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3.在投标过程中不串通投标、围标、哄抬报价，或不计成本、低价抢标等行为。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4.不使用贿赂等不正当手段。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6.我方本次投标提供的所有材料均为真实、有效，无虚假内容。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7.实事求是回答招标人提出的相关问题。</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无锡市儿童医院的黑名单，不得参加无锡市儿童医院所有招投标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spacing w:line="360" w:lineRule="auto"/>
        <w:rPr>
          <w:rFonts w:ascii="黑体" w:eastAsia="黑体"/>
          <w:bCs/>
          <w:color w:val="auto"/>
          <w:sz w:val="24"/>
          <w:highlight w:val="none"/>
        </w:rPr>
      </w:pPr>
      <w:r>
        <w:rPr>
          <w:rFonts w:hint="eastAsia" w:ascii="黑体" w:eastAsia="黑体"/>
          <w:bCs/>
          <w:color w:val="auto"/>
          <w:sz w:val="24"/>
          <w:highlight w:val="none"/>
        </w:rPr>
        <w:t xml:space="preserve">项目编号：</w:t>
      </w:r>
      <w:r/>
    </w:p>
    <w:tbl>
      <w:tblPr>
        <w:tblStyle w:val="723"/>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8"/>
        <w:gridCol w:w="2849"/>
        <w:gridCol w:w="3188"/>
      </w:tblGrid>
      <w:tr>
        <w:trPr>
          <w:cantSplit/>
          <w:jc w:val="center"/>
          <w:trHeight w:val="567"/>
        </w:trPr>
        <w:tc>
          <w:tcPr>
            <w:tcW w:w="2848" w:type="dxa"/>
            <w:vAlign w:val="center"/>
            <w:textDirection w:val="lrTb"/>
            <w:noWrap w:val="false"/>
          </w:tcPr>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项目名称</w:t>
            </w:r>
            <w:r/>
          </w:p>
        </w:tc>
        <w:tc>
          <w:tcPr>
            <w:tcW w:w="2849" w:type="dxa"/>
            <w:vAlign w:val="center"/>
            <w:textDirection w:val="lrTb"/>
            <w:noWrap w:val="false"/>
          </w:tcPr>
          <w:p>
            <w:pPr>
              <w:jc w:val="center"/>
              <w:spacing w:line="360" w:lineRule="auto"/>
              <w:rPr>
                <w:rFonts w:hint="eastAsia" w:ascii="宋体" w:hAnsi="宋体" w:eastAsia="宋体"/>
                <w:b/>
                <w:bCs/>
                <w:color w:val="auto"/>
                <w:sz w:val="24"/>
                <w:highlight w:val="none"/>
              </w:rPr>
            </w:pPr>
            <w:r>
              <w:rPr>
                <w:rFonts w:hint="eastAsia" w:hAnsi="宋体"/>
                <w:b/>
                <w:bCs/>
                <w:color w:val="auto"/>
                <w:sz w:val="24"/>
                <w:highlight w:val="none"/>
              </w:rPr>
              <w:t xml:space="preserve">项目内容</w:t>
            </w:r>
            <w:r/>
          </w:p>
        </w:tc>
        <w:tc>
          <w:tcPr>
            <w:tcW w:w="3188" w:type="dxa"/>
            <w:vAlign w:val="center"/>
            <w:textDirection w:val="lrTb"/>
            <w:noWrap w:val="false"/>
          </w:tcPr>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投标报价（小写）</w:t>
            </w:r>
            <w:r/>
          </w:p>
        </w:tc>
      </w:tr>
      <w:tr>
        <w:trPr>
          <w:cantSplit/>
          <w:jc w:val="center"/>
          <w:trHeight w:val="1630"/>
        </w:trPr>
        <w:tc>
          <w:tcPr>
            <w:tcW w:w="2848" w:type="dxa"/>
            <w:vAlign w:val="center"/>
            <w:textDirection w:val="lrTb"/>
            <w:noWrap w:val="false"/>
          </w:tcPr>
          <w:p>
            <w:pPr>
              <w:pStyle w:val="898"/>
              <w:jc w:val="center"/>
              <w:spacing w:line="360" w:lineRule="auto"/>
              <w:rPr>
                <w:rFonts w:hint="eastAsia" w:hAnsi="宋体"/>
                <w:bCs/>
                <w:color w:val="auto"/>
                <w:szCs w:val="24"/>
                <w:highlight w:val="none"/>
              </w:rPr>
            </w:pPr>
            <w:r>
              <w:rPr>
                <w:rFonts w:hint="eastAsia" w:hAnsi="宋体"/>
                <w:bCs/>
                <w:color w:val="auto"/>
                <w:szCs w:val="24"/>
                <w:highlight w:val="none"/>
              </w:rPr>
            </w:r>
            <w:r/>
          </w:p>
        </w:tc>
        <w:tc>
          <w:tcPr>
            <w:tcW w:w="2849" w:type="dxa"/>
            <w:vAlign w:val="center"/>
            <w:textDirection w:val="lrTb"/>
            <w:noWrap w:val="false"/>
          </w:tcPr>
          <w:p>
            <w:pPr>
              <w:pStyle w:val="898"/>
              <w:jc w:val="center"/>
              <w:spacing w:line="360" w:lineRule="auto"/>
              <w:rPr>
                <w:rFonts w:hint="eastAsia" w:hAnsi="宋体"/>
                <w:bCs/>
                <w:color w:val="auto"/>
                <w:szCs w:val="24"/>
                <w:highlight w:val="none"/>
              </w:rPr>
            </w:pPr>
            <w:r>
              <w:rPr>
                <w:rFonts w:hint="eastAsia" w:hAnsi="宋体"/>
                <w:b/>
                <w:bCs/>
                <w:color w:val="auto"/>
                <w:highlight w:val="none"/>
              </w:rPr>
              <w:t xml:space="preserve">详见投标文件</w:t>
            </w:r>
            <w:r/>
          </w:p>
        </w:tc>
        <w:tc>
          <w:tcPr>
            <w:tcW w:w="3188" w:type="dxa"/>
            <w:vAlign w:val="center"/>
            <w:textDirection w:val="lrTb"/>
            <w:noWrap w:val="false"/>
          </w:tcPr>
          <w:p>
            <w:pPr>
              <w:pStyle w:val="898"/>
              <w:spacing w:line="360" w:lineRule="auto"/>
              <w:rPr>
                <w:rFonts w:hint="eastAsia" w:hAnsi="宋体"/>
                <w:b/>
                <w:color w:val="auto"/>
                <w:szCs w:val="24"/>
                <w:highlight w:val="none"/>
              </w:rPr>
            </w:pPr>
            <w:r>
              <w:rPr>
                <w:rFonts w:hint="eastAsia" w:hAnsi="宋体"/>
                <w:b/>
                <w:color w:val="auto"/>
                <w:szCs w:val="24"/>
                <w:highlight w:val="none"/>
              </w:rPr>
            </w:r>
            <w:r/>
          </w:p>
        </w:tc>
      </w:tr>
      <w:tr>
        <w:trPr>
          <w:cantSplit/>
          <w:jc w:val="center"/>
          <w:trHeight w:val="780"/>
        </w:trPr>
        <w:tc>
          <w:tcPr>
            <w:gridSpan w:val="3"/>
            <w:tcW w:w="8885" w:type="dxa"/>
            <w:vAlign w:val="center"/>
            <w:textDirection w:val="lrTb"/>
            <w:noWrap w:val="false"/>
          </w:tcPr>
          <w:p>
            <w:pPr>
              <w:spacing w:line="360" w:lineRule="auto"/>
              <w:rPr>
                <w:rFonts w:ascii="宋体" w:hAnsi="宋体"/>
                <w:bCs/>
                <w:color w:val="auto"/>
                <w:sz w:val="24"/>
                <w:highlight w:val="none"/>
              </w:rPr>
            </w:pPr>
            <w:r>
              <w:rPr>
                <w:rFonts w:hint="eastAsia" w:ascii="黑体" w:eastAsia="黑体"/>
                <w:color w:val="auto"/>
                <w:sz w:val="24"/>
                <w:highlight w:val="none"/>
              </w:rPr>
              <w:t xml:space="preserve">投标总报价（大写）</w:t>
            </w:r>
            <w:r>
              <w:rPr>
                <w:rFonts w:hint="eastAsia" w:ascii="宋体" w:hAnsi="宋体" w:eastAsia="黑体"/>
                <w:bCs/>
                <w:color w:val="auto"/>
                <w:sz w:val="24"/>
                <w:highlight w:val="none"/>
              </w:rPr>
              <w:t xml:space="preserve">：</w:t>
            </w:r>
            <w:r>
              <w:rPr>
                <w:rFonts w:hint="eastAsia" w:ascii="宋体" w:hAnsi="宋体"/>
                <w:bCs/>
                <w:color w:val="auto"/>
                <w:sz w:val="24"/>
                <w:highlight w:val="none"/>
              </w:rPr>
              <w:t xml:space="preserve">　　　</w:t>
            </w:r>
            <w:r/>
          </w:p>
        </w:tc>
      </w:tr>
    </w:tbl>
    <w:p>
      <w:pPr>
        <w:spacing w:line="360" w:lineRule="auto"/>
        <w:rPr>
          <w:rFonts w:ascii="黑体" w:eastAsia="黑体"/>
          <w:bCs/>
          <w:color w:val="auto"/>
          <w:sz w:val="24"/>
          <w:highlight w:val="none"/>
        </w:rPr>
      </w:pPr>
      <w:r>
        <w:rPr>
          <w:rFonts w:hint="eastAsia" w:ascii="黑体" w:eastAsia="黑体"/>
          <w:bCs/>
          <w:color w:val="auto"/>
          <w:sz w:val="24"/>
          <w:highlight w:val="none"/>
        </w:rPr>
        <w:t xml:space="preserve">投标人名称（签章）：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0"/>
        <w:spacing w:line="360" w:lineRule="auto"/>
        <w:rPr>
          <w:b/>
          <w:bCs w:val="0"/>
          <w:color w:val="auto"/>
          <w:highlight w:val="none"/>
        </w:rPr>
      </w:pPr>
      <w:r/>
      <w:bookmarkStart w:id="148" w:name="_Toc120614284"/>
      <w:r>
        <w:rPr>
          <w:rFonts w:hint="eastAsia"/>
          <w:b/>
          <w:bCs w:val="0"/>
          <w:color w:val="auto"/>
          <w:sz w:val="24"/>
          <w:szCs w:val="24"/>
          <w:highlight w:val="none"/>
        </w:rPr>
        <w:t xml:space="preserve">开标一览表中填报的</w:t>
      </w:r>
      <w:r>
        <w:rPr>
          <w:rFonts w:hint="eastAsia" w:eastAsia="宋体"/>
          <w:b/>
          <w:bCs w:val="0"/>
          <w:color w:val="auto"/>
          <w:sz w:val="24"/>
          <w:szCs w:val="24"/>
          <w:highlight w:val="none"/>
        </w:rPr>
        <w:t xml:space="preserve">报价</w:t>
      </w:r>
      <w:r>
        <w:rPr>
          <w:rFonts w:hint="eastAsia"/>
          <w:b/>
          <w:bCs w:val="0"/>
          <w:color w:val="auto"/>
          <w:sz w:val="24"/>
          <w:szCs w:val="24"/>
          <w:highlight w:val="none"/>
        </w:rPr>
        <w:t xml:space="preserve">＝</w:t>
      </w:r>
      <w:r>
        <w:rPr>
          <w:rFonts w:hint="eastAsia" w:ascii="宋体" w:hAnsi="宋体" w:eastAsia="宋体" w:cs="宋体"/>
          <w:b/>
          <w:bCs w:val="0"/>
          <w:color w:val="auto"/>
          <w:sz w:val="24"/>
          <w:szCs w:val="24"/>
          <w:highlight w:val="none"/>
        </w:rPr>
        <w:t xml:space="preserve">全外显子组测序单人报价*40%+全外显子组测序家系报价*45%+全基因组测序单人报价*3%+全基因组测序家系报价*2%+一代测序报价*2%+MLPA/MS-MLPA报价*2%+动态突变报价*2%+CNV-seq报价*2%+特殊遗传病检测项目报价*2%</w:t>
      </w:r>
      <w:r/>
    </w:p>
    <w:p>
      <w:pPr>
        <w:ind w:firstLine="480"/>
        <w:rPr>
          <w:rFonts w:hint="eastAsia" w:ascii="宋体" w:hAnsi="宋体" w:eastAsia="宋体" w:cs="宋体"/>
          <w:b/>
          <w:color w:val="auto"/>
          <w:sz w:val="28"/>
          <w:szCs w:val="28"/>
          <w:highlight w:val="none"/>
        </w:rPr>
      </w:pPr>
      <w:r>
        <w:rPr>
          <w:rFonts w:hint="eastAsia"/>
          <w:b/>
          <w:color w:val="auto"/>
          <w:sz w:val="24"/>
          <w:szCs w:val="24"/>
          <w:highlight w:val="none"/>
        </w:rPr>
        <w:t xml:space="preserve">开标一览表中填报的报价仅计算价格分使用。中标后以投标人填报的分项报价为准。</w:t>
      </w:r>
      <w:r>
        <w:rPr>
          <w:rFonts w:hint="eastAsia" w:ascii="宋体" w:hAnsi="宋体" w:eastAsia="宋体" w:cs="宋体"/>
          <w:b/>
          <w:color w:val="auto"/>
          <w:sz w:val="28"/>
          <w:szCs w:val="28"/>
          <w:highlight w:val="none"/>
        </w:rPr>
        <w:br w:type="page" w:clear="all"/>
      </w:r>
      <w:r/>
    </w:p>
    <w:p>
      <w:pPr>
        <w:jc w:val="center"/>
        <w:spacing w:line="360" w:lineRule="auto"/>
        <w:rPr>
          <w:rFonts w:ascii="黑体" w:eastAsia="黑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240"/>
        <w:rPr>
          <w:rFonts w:hint="eastAsia" w:ascii="宋体" w:hAnsi="宋体" w:eastAsia="宋体" w:cs="宋体"/>
          <w:b/>
          <w:color w:val="auto"/>
          <w:sz w:val="28"/>
          <w:szCs w:val="28"/>
          <w:highlight w:val="none"/>
        </w:rPr>
      </w:pPr>
      <w:r>
        <w:rPr>
          <w:rFonts w:hint="eastAsia"/>
          <w:bCs/>
          <w:color w:val="auto"/>
          <w:sz w:val="24"/>
          <w:highlight w:val="none"/>
        </w:rPr>
        <w:t xml:space="preserve">投标人名称（签章）                                  政府采购编号：</w:t>
      </w:r>
      <w:r/>
    </w:p>
    <w:tbl>
      <w:tblPr>
        <w:tblStyle w:val="723"/>
        <w:tblW w:w="9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03"/>
        <w:gridCol w:w="2340"/>
        <w:gridCol w:w="4775"/>
        <w:gridCol w:w="1933"/>
      </w:tblGrid>
      <w:tr>
        <w:trPr>
          <w:cantSplit/>
          <w:jc w:val="center"/>
          <w:trHeight w:val="717"/>
        </w:trPr>
        <w:tc>
          <w:tcPr>
            <w:tcMar>
              <w:left w:w="15" w:type="dxa"/>
              <w:top w:w="15" w:type="dxa"/>
              <w:right w:w="15" w:type="dxa"/>
              <w:bottom w:w="0" w:type="dxa"/>
            </w:tcMar>
            <w:tcW w:w="503" w:type="dxa"/>
            <w:vAlign w:val="center"/>
            <w:textDirection w:val="lrTb"/>
            <w:noWrap w:val="false"/>
          </w:tcPr>
          <w:p>
            <w:pPr>
              <w:pStyle w:val="1121"/>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eastAsia="zh-CN"/>
              </w:rPr>
              <w:t xml:space="preserve">1</w:t>
            </w:r>
            <w:r/>
          </w:p>
        </w:tc>
        <w:tc>
          <w:tcPr>
            <w:tcMar>
              <w:left w:w="15" w:type="dxa"/>
              <w:top w:w="15" w:type="dxa"/>
              <w:right w:w="15" w:type="dxa"/>
              <w:bottom w:w="0" w:type="dxa"/>
            </w:tcMar>
            <w:tcW w:w="2340"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全外显子组测序单人（元/次）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黑体" w:hAnsi="宋体" w:eastAsia="黑体"/>
                <w:b/>
                <w:color w:val="auto"/>
                <w:sz w:val="24"/>
                <w:szCs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jc w:val="center"/>
          <w:trHeight w:val="898"/>
        </w:trPr>
        <w:tc>
          <w:tcPr>
            <w:tcMar>
              <w:left w:w="15" w:type="dxa"/>
              <w:top w:w="15" w:type="dxa"/>
              <w:right w:w="15" w:type="dxa"/>
              <w:bottom w:w="0" w:type="dxa"/>
            </w:tcMar>
            <w:tcW w:w="503" w:type="dxa"/>
            <w:vAlign w:val="center"/>
            <w:textDirection w:val="lrTb"/>
            <w:noWrap w:val="false"/>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2340"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全外显子组测序家系（元/次）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黑体" w:hAnsi="宋体" w:eastAsia="黑体"/>
                <w:b/>
                <w:color w:val="auto"/>
                <w:sz w:val="24"/>
                <w:szCs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923"/>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3</w:t>
            </w:r>
            <w:r/>
          </w:p>
        </w:tc>
        <w:tc>
          <w:tcPr>
            <w:tcMar>
              <w:left w:w="15" w:type="dxa"/>
              <w:top w:w="15" w:type="dxa"/>
              <w:right w:w="15" w:type="dxa"/>
              <w:bottom w:w="0" w:type="dxa"/>
            </w:tcMar>
            <w:tcW w:w="2340"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全基因组测序单人（元/次）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黑体" w:hAnsi="宋体" w:eastAsia="黑体"/>
                <w:b/>
                <w:color w:val="auto"/>
                <w:sz w:val="24"/>
                <w:szCs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98"/>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4</w:t>
            </w:r>
            <w:r/>
          </w:p>
        </w:tc>
        <w:tc>
          <w:tcPr>
            <w:tcMar>
              <w:left w:w="15" w:type="dxa"/>
              <w:top w:w="15" w:type="dxa"/>
              <w:right w:w="15" w:type="dxa"/>
              <w:bottom w:w="0" w:type="dxa"/>
            </w:tcMar>
            <w:tcW w:w="2340"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全基因组测序家系（元/次）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71"/>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5</w:t>
            </w:r>
            <w:r/>
          </w:p>
        </w:tc>
        <w:tc>
          <w:tcPr>
            <w:tcMar>
              <w:left w:w="15" w:type="dxa"/>
              <w:top w:w="15" w:type="dxa"/>
              <w:right w:w="15" w:type="dxa"/>
              <w:bottom w:w="0" w:type="dxa"/>
            </w:tcMar>
            <w:tcW w:w="2340" w:type="dxa"/>
            <w:vAlign w:val="center"/>
            <w:textDirection w:val="lrTb"/>
            <w:noWrap w:val="false"/>
          </w:tcPr>
          <w:p>
            <w:pPr>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一代测序（元/位点）</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jc w:val="left"/>
              <w:spacing w:line="360" w:lineRule="auto"/>
              <w:rPr>
                <w:rFonts w:hint="eastAsia" w:ascii="黑体" w:hAnsi="宋体" w:eastAsia="黑体"/>
                <w:b/>
                <w:bCs/>
                <w:color w:val="auto"/>
                <w:sz w:val="24"/>
                <w:szCs w:val="24"/>
                <w:highlight w:val="none"/>
              </w:rPr>
            </w:pPr>
            <w:r>
              <w:rPr>
                <w:rFonts w:hint="eastAsia" w:ascii="宋体" w:hAnsi="宋体" w:cs="宋体"/>
                <w:color w:val="auto"/>
                <w:sz w:val="24"/>
                <w:highlight w:val="none"/>
              </w:rPr>
              <w:t xml:space="preserve">大写：</w:t>
            </w:r>
            <w:r/>
          </w:p>
        </w:tc>
        <w:tc>
          <w:tcPr>
            <w:tcW w:w="1933" w:type="dxa"/>
            <w:vAlign w:val="center"/>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871"/>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6</w:t>
            </w:r>
            <w:r/>
          </w:p>
        </w:tc>
        <w:tc>
          <w:tcPr>
            <w:tcMar>
              <w:left w:w="15" w:type="dxa"/>
              <w:top w:w="15" w:type="dxa"/>
              <w:right w:w="15" w:type="dxa"/>
              <w:bottom w:w="0" w:type="dxa"/>
            </w:tcMar>
            <w:tcW w:w="2340" w:type="dxa"/>
            <w:vAlign w:val="center"/>
            <w:textDirection w:val="lrTb"/>
            <w:noWrap w:val="false"/>
          </w:tcPr>
          <w:p>
            <w:pPr>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MLPA/MS-MPLA（元/次）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71"/>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7</w:t>
            </w:r>
            <w:r/>
          </w:p>
        </w:tc>
        <w:tc>
          <w:tcPr>
            <w:tcMar>
              <w:left w:w="15" w:type="dxa"/>
              <w:top w:w="15" w:type="dxa"/>
              <w:right w:w="15" w:type="dxa"/>
              <w:bottom w:w="0" w:type="dxa"/>
            </w:tcMar>
            <w:tcW w:w="2340" w:type="dxa"/>
            <w:vAlign w:val="center"/>
            <w:textDirection w:val="lrTb"/>
            <w:noWrap w:val="false"/>
          </w:tcPr>
          <w:p>
            <w:pPr>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CNV-seq（元/次）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71"/>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8</w:t>
            </w:r>
            <w:r/>
          </w:p>
        </w:tc>
        <w:tc>
          <w:tcPr>
            <w:tcMar>
              <w:left w:w="15" w:type="dxa"/>
              <w:top w:w="15" w:type="dxa"/>
              <w:right w:w="15" w:type="dxa"/>
              <w:bottom w:w="0" w:type="dxa"/>
            </w:tcMar>
            <w:tcW w:w="2340" w:type="dxa"/>
            <w:vAlign w:val="center"/>
            <w:textDirection w:val="lrTb"/>
            <w:noWrap w:val="false"/>
          </w:tcPr>
          <w:p>
            <w:pPr>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动态突变（元/位点）</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71"/>
        </w:trPr>
        <w:tc>
          <w:tcPr>
            <w:tcMar>
              <w:left w:w="15" w:type="dxa"/>
              <w:top w:w="15" w:type="dxa"/>
              <w:right w:w="15" w:type="dxa"/>
              <w:bottom w:w="0" w:type="dxa"/>
            </w:tcMar>
            <w:tcW w:w="503" w:type="dxa"/>
            <w:vAlign w:val="center"/>
            <w:textDirection w:val="lrTb"/>
            <w:noWrap w:val="false"/>
          </w:tcPr>
          <w:p>
            <w:pPr>
              <w:jc w:val="center"/>
              <w:rPr>
                <w:rFonts w:ascii="宋体" w:eastAsia="宋体"/>
                <w:color w:val="auto"/>
                <w:sz w:val="18"/>
                <w:highlight w:val="none"/>
              </w:rPr>
            </w:pPr>
            <w:r>
              <w:rPr>
                <w:rFonts w:hint="eastAsia" w:ascii="宋体" w:eastAsia="宋体"/>
                <w:color w:val="auto"/>
                <w:sz w:val="18"/>
                <w:highlight w:val="none"/>
              </w:rPr>
              <w:t xml:space="preserve">9</w:t>
            </w:r>
            <w:r/>
          </w:p>
        </w:tc>
        <w:tc>
          <w:tcPr>
            <w:tcMar>
              <w:left w:w="15" w:type="dxa"/>
              <w:top w:w="15" w:type="dxa"/>
              <w:right w:w="15" w:type="dxa"/>
              <w:bottom w:w="0" w:type="dxa"/>
            </w:tcMar>
            <w:tcW w:w="2340" w:type="dxa"/>
            <w:vAlign w:val="center"/>
            <w:textDirection w:val="lrTb"/>
            <w:noWrap w:val="false"/>
          </w:tcPr>
          <w:p>
            <w:pPr>
              <w:jc w:val="center"/>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特殊遗传病检测项目（元/次）</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pStyle w:val="724"/>
              <w:jc w:val="left"/>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大写：</w:t>
            </w:r>
            <w:r/>
          </w:p>
        </w:tc>
        <w:tc>
          <w:tcPr>
            <w:tcW w:w="1933" w:type="dxa"/>
            <w:vAlign w:val="center"/>
            <w:textDirection w:val="lrTb"/>
            <w:noWrap w:val="false"/>
          </w:tcPr>
          <w:p>
            <w:pPr>
              <w:pStyle w:val="724"/>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898"/>
        </w:trPr>
        <w:tc>
          <w:tcPr>
            <w:gridSpan w:val="2"/>
            <w:tcMar>
              <w:left w:w="15" w:type="dxa"/>
              <w:top w:w="15" w:type="dxa"/>
              <w:right w:w="15" w:type="dxa"/>
              <w:bottom w:w="0" w:type="dxa"/>
            </w:tcMar>
            <w:tcW w:w="2843" w:type="dxa"/>
            <w:vAlign w:val="center"/>
            <w:textDirection w:val="lrTb"/>
            <w:noWrap w:val="false"/>
          </w:tcPr>
          <w:p>
            <w:pPr>
              <w:jc w:val="center"/>
              <w:spacing w:line="360" w:lineRule="auto"/>
              <w:rPr>
                <w:rFonts w:ascii="黑体" w:eastAsia="黑体"/>
                <w:b/>
                <w:bCs/>
                <w:color w:val="auto"/>
                <w:highlight w:val="none"/>
              </w:rPr>
            </w:pPr>
            <w:r>
              <w:rPr>
                <w:rFonts w:hint="eastAsia" w:ascii="宋体" w:hAnsi="宋体" w:cs="宋体"/>
                <w:color w:val="auto"/>
                <w:sz w:val="24"/>
                <w:highlight w:val="none"/>
              </w:rPr>
              <w:t xml:space="preserve">小计（元）</w:t>
            </w:r>
            <w:r/>
          </w:p>
        </w:tc>
        <w:tc>
          <w:tcPr>
            <w:tcW w:w="4775" w:type="dxa"/>
            <w:vAlign w:val="center"/>
            <w:textDirection w:val="lrTb"/>
            <w:noWrap w:val="false"/>
          </w:tcPr>
          <w:p>
            <w:pPr>
              <w:pStyle w:val="724"/>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p>
            <w:pPr>
              <w:jc w:val="left"/>
              <w:spacing w:line="360" w:lineRule="auto"/>
              <w:rPr>
                <w:rFonts w:hint="eastAsia" w:ascii="黑体" w:hAnsi="宋体" w:eastAsia="黑体"/>
                <w:b/>
                <w:bCs/>
                <w:color w:val="auto"/>
                <w:sz w:val="24"/>
                <w:szCs w:val="24"/>
                <w:highlight w:val="none"/>
              </w:rPr>
            </w:pPr>
            <w:r>
              <w:rPr>
                <w:rFonts w:hint="eastAsia" w:ascii="宋体" w:hAnsi="宋体" w:cs="宋体"/>
                <w:color w:val="auto"/>
                <w:sz w:val="24"/>
                <w:highlight w:val="none"/>
              </w:rPr>
              <w:t xml:space="preserve">大写：</w:t>
            </w:r>
            <w:r/>
          </w:p>
        </w:tc>
        <w:tc>
          <w:tcPr>
            <w:tcW w:w="1933" w:type="dxa"/>
            <w:vAlign w:val="center"/>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ascii="宋体"/>
          <w:bCs/>
          <w:color w:val="auto"/>
          <w:sz w:val="24"/>
          <w:szCs w:val="24"/>
          <w:highlight w:val="none"/>
        </w:rPr>
        <w:outlineLvl w:val="0"/>
      </w:pPr>
      <w:r>
        <w:rPr>
          <w:rFonts w:hint="eastAsia" w:ascii="宋体" w:hAnsi="宋体"/>
          <w:b/>
          <w:color w:val="auto"/>
          <w:sz w:val="24"/>
          <w:szCs w:val="24"/>
          <w:highlight w:val="none"/>
        </w:rPr>
        <w:t xml:space="preserve">注：</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w:t>
      </w:r>
      <w:r>
        <w:rPr>
          <w:rFonts w:hint="eastAsia" w:ascii="宋体"/>
          <w:bCs/>
          <w:color w:val="auto"/>
          <w:sz w:val="24"/>
          <w:szCs w:val="24"/>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原件扫描件；或提供投标人《残疾人福利性单位声明函》。如未按要求填写和提供有效证明或相关内容表述不清的，不得享受价格扣除。投标人对所报相关数据的真实性负责，普信国际工程咨询有限公司有权将相关内容进行公示；</w:t>
      </w:r>
      <w:r/>
    </w:p>
    <w:p>
      <w:pPr>
        <w:ind w:firstLine="315"/>
        <w:spacing w:line="400" w:lineRule="exact"/>
        <w:rPr>
          <w:rFonts w:asci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）投标人应当根据“采购需求”的内容在上表中详细填写；</w:t>
      </w:r>
      <w:r/>
    </w:p>
    <w:p>
      <w:pPr>
        <w:ind w:firstLine="315"/>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）表格不够可自行延长。</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九、投标偏离表（给定格式）：</w:t>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2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（3）如有任何偏离项，请于本表中列明偏离内容，如需要可自行延长，其余无偏离内容不须赘述。</w:t>
      </w:r>
      <w:bookmarkEnd w:id="148"/>
      <w:r/>
      <w:bookmarkStart w:id="149" w:name="_Hlt26671374"/>
      <w:r/>
      <w:bookmarkEnd w:id="149"/>
      <w:r/>
      <w:bookmarkStart w:id="150" w:name="_Hlt26955066"/>
      <w:r/>
      <w:bookmarkEnd w:id="150"/>
      <w:r/>
      <w:bookmarkStart w:id="151" w:name="_Hlt26609389"/>
      <w:r/>
      <w:bookmarkEnd w:id="151"/>
      <w:r/>
      <w:bookmarkStart w:id="152" w:name="_格式2__法定代表人授权书"/>
      <w:r/>
      <w:bookmarkEnd w:id="152"/>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spacing w:line="40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十、项目人员配置表（格式）</w:t>
      </w:r>
      <w:r/>
    </w:p>
    <w:p>
      <w:pPr>
        <w:jc w:val="cente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23"/>
        <w:tblW w:w="91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1836"/>
      </w:tblGrid>
      <w:tr>
        <w:trPr>
          <w:trHeight w:val="865"/>
        </w:trPr>
        <w:tc>
          <w:tcPr>
            <w:tcW w:w="59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183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7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bCs/>
          <w:color w:val="auto"/>
          <w:highlight w:val="none"/>
        </w:rPr>
        <w:sectPr>
          <w:footerReference w:type="default" r:id="rId9"/>
          <w:footnotePr/>
          <w:endnotePr/>
          <w:type w:val="nextPage"/>
          <w:pgSz w:w="11906" w:h="16838" w:orient="portrait"/>
          <w:pgMar w:top="1417" w:right="1417" w:bottom="1417" w:left="1417" w:header="624" w:footer="907" w:gutter="0"/>
          <w:cols w:num="1" w:sep="0" w:space="1701" w:equalWidth="1"/>
          <w:docGrid w:linePitch="360"/>
        </w:sectPr>
      </w:pPr>
      <w:r>
        <w:rPr>
          <w:rFonts w:hint="eastAsia" w:ascii="宋体" w:hAnsi="宋体" w:eastAsia="宋体" w:cs="宋体"/>
          <w:bCs/>
          <w:color w:val="auto"/>
          <w:highlight w:val="none"/>
        </w:rPr>
        <w:t xml:space="preserve">注：本表对应项目人员配置情况，表格不够可自行延长。</w:t>
      </w:r>
      <w:r/>
    </w:p>
    <w:p>
      <w:pPr>
        <w:ind w:firstLine="562"/>
        <w:spacing w:line="40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十一、其他检测项目表（格式）</w:t>
      </w:r>
      <w:r/>
    </w:p>
    <w:p>
      <w:pPr>
        <w:pStyle w:val="724"/>
        <w:jc w:val="center"/>
        <w:rPr>
          <w:rFonts w:ascii="宋体" w:hAnsi="宋体" w:eastAsia="楷体_GB2312" w:cs="宋体"/>
          <w:b/>
          <w:color w:val="auto"/>
          <w:sz w:val="32"/>
          <w:szCs w:val="32"/>
          <w:highlight w:val="none"/>
        </w:rPr>
      </w:pPr>
      <w:r>
        <w:rPr>
          <w:rFonts w:hint="eastAsia" w:ascii="宋体" w:hAnsi="宋体" w:cs="宋体"/>
          <w:b/>
          <w:color w:val="auto"/>
          <w:sz w:val="32"/>
          <w:szCs w:val="32"/>
          <w:highlight w:val="none"/>
        </w:rPr>
        <w:t xml:space="preserve">其他检测项目表</w:t>
      </w:r>
      <w:r/>
    </w:p>
    <w:tbl>
      <w:tblPr>
        <w:tblStyle w:val="723"/>
        <w:tblpPr w:horzAnchor="page" w:tblpX="1387" w:vertAnchor="text" w:tblpY="639"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216"/>
        <w:gridCol w:w="3086"/>
        <w:gridCol w:w="2139"/>
        <w:gridCol w:w="2843"/>
      </w:tblGrid>
      <w:tr>
        <w:trPr>
          <w:trHeight w:val="1112"/>
        </w:trPr>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检测项</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报价（元/次）</w:t>
            </w:r>
            <w:r/>
          </w:p>
        </w:tc>
        <w:tc>
          <w:tcPr>
            <w:tcBorders>
              <w:top w:val="single" w:color="auto" w:sz="4" w:space="0"/>
              <w:left w:val="none" w:color="000000" w:sz="4" w:space="0"/>
              <w:bottom w:val="single" w:color="auto" w:sz="4" w:space="0"/>
              <w:right w:val="single" w:color="auto" w:sz="4" w:space="0"/>
            </w:tcBorders>
            <w:tcW w:w="153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723"/>
        </w:trPr>
        <w:tc>
          <w:tcPr>
            <w:tcBorders>
              <w:top w:val="none" w:color="000000"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5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right w:val="single" w:color="auto" w:sz="4" w:space="0"/>
            </w:tcBorders>
            <w:tcW w:w="1531" w:type="pct"/>
            <w:vAlign w:val="center"/>
            <w:vMerge w:val="restart"/>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8"/>
        </w:trPr>
        <w:tc>
          <w:tcPr>
            <w:tcBorders>
              <w:top w:val="none" w:color="000000"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5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none" w:color="000000" w:sz="4" w:space="0"/>
              <w:right w:val="single" w:color="auto" w:sz="4" w:space="0"/>
            </w:tcBorders>
            <w:tcW w:w="1531" w:type="pct"/>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8"/>
        </w:trPr>
        <w:tc>
          <w:tcPr>
            <w:tcBorders>
              <w:top w:val="none" w:color="000000"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5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none" w:color="000000" w:sz="4" w:space="0"/>
              <w:right w:val="single" w:color="auto" w:sz="4" w:space="0"/>
            </w:tcBorders>
            <w:tcW w:w="1531" w:type="pct"/>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8"/>
        </w:trPr>
        <w:tc>
          <w:tcPr>
            <w:tcBorders>
              <w:top w:val="none" w:color="000000"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5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none" w:color="000000" w:sz="4" w:space="0"/>
              <w:right w:val="single" w:color="auto" w:sz="4" w:space="0"/>
            </w:tcBorders>
            <w:tcW w:w="1531" w:type="pct"/>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8"/>
        </w:trPr>
        <w:tc>
          <w:tcPr>
            <w:tcBorders>
              <w:top w:val="none" w:color="000000"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15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none" w:color="000000" w:sz="4" w:space="0"/>
              <w:right w:val="single" w:color="auto" w:sz="4" w:space="0"/>
            </w:tcBorders>
            <w:tcW w:w="1531" w:type="pct"/>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8"/>
        </w:trPr>
        <w:tc>
          <w:tcPr>
            <w:tcBorders>
              <w:top w:val="none" w:color="000000" w:sz="4" w:space="0"/>
              <w:left w:val="single" w:color="auto" w:sz="4" w:space="0"/>
              <w:bottom w:val="single" w:color="auto" w:sz="4" w:space="0"/>
              <w:right w:val="single" w:color="auto" w:sz="4" w:space="0"/>
            </w:tcBorders>
            <w:tcW w:w="6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16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single" w:color="auto" w:sz="4" w:space="0"/>
              <w:bottom w:val="single" w:color="auto" w:sz="4" w:space="0"/>
              <w:right w:val="single" w:color="auto" w:sz="4" w:space="0"/>
            </w:tcBorders>
            <w:tcW w:w="1152" w:type="pct"/>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none" w:color="000000" w:sz="4" w:space="0"/>
              <w:bottom w:val="single" w:color="auto" w:sz="4" w:space="0"/>
              <w:right w:val="single" w:color="auto" w:sz="4" w:space="0"/>
            </w:tcBorders>
            <w:tcW w:w="1531" w:type="pct"/>
            <w:vAlign w:val="center"/>
            <w:vMerge w:val="continue"/>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供应商名称（盖章）</w:t>
      </w:r>
      <w:r>
        <w:rPr>
          <w:rFonts w:hint="eastAsia" w:ascii="宋体" w:hAnsi="宋体" w:cs="宋体"/>
          <w:color w:val="auto"/>
          <w:sz w:val="24"/>
          <w:szCs w:val="24"/>
          <w:highlight w:val="none"/>
        </w:rPr>
        <w:t xml:space="preserve">                            政府采购编号： </w:t>
      </w:r>
      <w:r/>
    </w:p>
    <w:p>
      <w:pPr>
        <w:pStyle w:val="7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highlight w:val="none"/>
        </w:rPr>
      </w:pPr>
      <w:r>
        <w:rPr>
          <w:rFonts w:hint="eastAsia"/>
          <w:color w:val="auto"/>
          <w:sz w:val="24"/>
          <w:szCs w:val="24"/>
          <w:highlight w:val="none"/>
        </w:rPr>
        <w:t xml:space="preserve">备注：</w:t>
      </w:r>
      <w:r>
        <w:rPr>
          <w:color w:val="auto"/>
          <w:sz w:val="24"/>
          <w:szCs w:val="24"/>
          <w:highlight w:val="none"/>
        </w:rPr>
        <w:t xml:space="preserve">投标供应商可</w:t>
      </w:r>
      <w:r>
        <w:rPr>
          <w:rFonts w:hint="eastAsia"/>
          <w:color w:val="auto"/>
          <w:sz w:val="24"/>
          <w:szCs w:val="24"/>
          <w:highlight w:val="none"/>
        </w:rPr>
        <w:t xml:space="preserve">根据自身单位情况将各项检测的项目列出，表格不够可自行添加。</w:t>
      </w:r>
      <w:r/>
    </w:p>
    <w:sectPr>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2736215</wp:posOffset>
              </wp:positionH>
              <wp:positionV relativeFrom="paragraph">
                <wp:posOffset>175260</wp:posOffset>
              </wp:positionV>
              <wp:extent cx="170815" cy="13144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0771" cy="131433"/>
                      </a:xfrm>
                      <a:prstGeom prst="rect">
                        <a:avLst/>
                      </a:prstGeom>
                      <a:noFill/>
                      <a:ln>
                        <a:noFill/>
                      </a:ln>
                    </wps:spPr>
                    <wps:txbx>
                      <w:txbxContent>
                        <w:p>
                          <w:pPr>
                            <w:pStyle w:val="80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15.4pt;mso-position-horizontal:absolute;mso-position-vertical-relative:text;margin-top:13.8pt;mso-position-vertical:absolute;width:13.4pt;height:10.3pt;mso-wrap-distance-left:9.0pt;mso-wrap-distance-top:0.0pt;mso-wrap-distance-right:9.0pt;mso-wrap-distance-bottom:0.0pt;visibility:visible;" filled="f" stroked="f">
              <v:textbox inset="0,0,0,0">
                <w:txbxContent>
                  <w:p>
                    <w:pPr>
                      <w:pStyle w:val="807"/>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8"/>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1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902"/>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4">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upperLetter"/>
      <w:pStyle w:val="76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4"/>
      <w:isLgl w:val="false"/>
      <w:suff w:val="nothing"/>
      <w:lvlText w:val=""/>
      <w:lvlJc w:val="left"/>
      <w:pPr>
        <w:ind w:left="0" w:firstLine="0"/>
      </w:pPr>
      <w:rPr>
        <w:rFonts w:hint="eastAsia"/>
      </w:rPr>
    </w:lvl>
    <w:lvl w:ilvl="6">
      <w:start w:val="1"/>
      <w:numFmt w:val="decimal"/>
      <w:pStyle w:val="1086"/>
      <w:isLgl w:val="false"/>
      <w:suff w:val="nothing"/>
      <w:lvlText w:val=""/>
      <w:lvlJc w:val="left"/>
      <w:pPr>
        <w:ind w:left="0" w:firstLine="0"/>
      </w:pPr>
      <w:rPr>
        <w:rFonts w:hint="eastAsia"/>
      </w:rPr>
    </w:lvl>
    <w:lvl w:ilvl="7">
      <w:start w:val="1"/>
      <w:numFmt w:val="decimal"/>
      <w:pStyle w:val="1088"/>
      <w:isLgl w:val="false"/>
      <w:suff w:val="nothing"/>
      <w:lvlText w:val=""/>
      <w:lvlJc w:val="left"/>
      <w:pPr>
        <w:ind w:left="0" w:firstLine="0"/>
      </w:pPr>
      <w:rPr>
        <w:rFonts w:hint="eastAsia"/>
      </w:rPr>
    </w:lvl>
    <w:lvl w:ilvl="8">
      <w:start w:val="1"/>
      <w:numFmt w:val="decimal"/>
      <w:pStyle w:val="1090"/>
      <w:isLgl w:val="false"/>
      <w:suff w:val="nothing"/>
      <w:lvlText w:val=""/>
      <w:lvlJc w:val="left"/>
      <w:pPr>
        <w:ind w:left="0" w:firstLine="0"/>
      </w:pPr>
      <w:rPr>
        <w:rFonts w:hint="eastAsia"/>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6"/>
  </w:num>
  <w:num w:numId="2">
    <w:abstractNumId w:val="3"/>
  </w:num>
  <w:num w:numId="3">
    <w:abstractNumId w:val="10"/>
  </w:num>
  <w:num w:numId="4">
    <w:abstractNumId w:val="1"/>
  </w:num>
  <w:num w:numId="5">
    <w:abstractNumId w:val="0"/>
  </w:num>
  <w:num w:numId="6">
    <w:abstractNumId w:val="8"/>
  </w:num>
  <w:num w:numId="7">
    <w:abstractNumId w:val="7"/>
  </w:num>
  <w:num w:numId="8">
    <w:abstractNumId w:val="11"/>
  </w:num>
  <w:num w:numId="9">
    <w:abstractNumId w:val="2"/>
  </w:num>
  <w:num w:numId="10">
    <w:abstractNumId w:val="5"/>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2">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1">
    <w:name w:val="TOC Heading"/>
    <w:uiPriority w:val="39"/>
    <w:unhideWhenUsed/>
  </w:style>
  <w:style w:type="paragraph" w:styleId="712" w:default="1">
    <w:name w:val="Normal"/>
    <w:next w:val="724"/>
    <w:uiPriority w:val="0"/>
    <w:qFormat/>
    <w:pPr>
      <w:jc w:val="both"/>
      <w:widowControl w:val="off"/>
    </w:pPr>
    <w:rPr>
      <w:rFonts w:ascii="Calibri" w:hAnsi="Calibri" w:eastAsia="Arial" w:cs="Times New Roman"/>
      <w:sz w:val="21"/>
      <w:szCs w:val="22"/>
      <w:lang w:val="en-US" w:eastAsia="zh-CN" w:bidi="ar-SA"/>
    </w:rPr>
  </w:style>
  <w:style w:type="paragraph" w:styleId="713">
    <w:name w:val="Heading 1"/>
    <w:basedOn w:val="712"/>
    <w:next w:val="712"/>
    <w:uiPriority w:val="9"/>
    <w:qFormat/>
    <w:pPr>
      <w:keepLines/>
      <w:keepNext/>
      <w:spacing w:before="480" w:after="200"/>
      <w:outlineLvl w:val="0"/>
    </w:pPr>
    <w:rPr>
      <w:rFonts w:ascii="Arial" w:hAnsi="Arial" w:cs="Arial"/>
      <w:sz w:val="40"/>
      <w:szCs w:val="40"/>
    </w:rPr>
  </w:style>
  <w:style w:type="paragraph" w:styleId="714">
    <w:name w:val="Heading 2"/>
    <w:basedOn w:val="712"/>
    <w:next w:val="712"/>
    <w:uiPriority w:val="9"/>
    <w:unhideWhenUsed/>
    <w:qFormat/>
    <w:pPr>
      <w:keepLines/>
      <w:keepNext/>
      <w:spacing w:before="360" w:after="200"/>
      <w:outlineLvl w:val="1"/>
    </w:pPr>
    <w:rPr>
      <w:rFonts w:ascii="Arial" w:hAnsi="Arial" w:cs="Arial"/>
      <w:sz w:val="34"/>
    </w:rPr>
  </w:style>
  <w:style w:type="paragraph" w:styleId="715">
    <w:name w:val="Heading 3"/>
    <w:basedOn w:val="712"/>
    <w:next w:val="712"/>
    <w:uiPriority w:val="9"/>
    <w:unhideWhenUsed/>
    <w:qFormat/>
    <w:pPr>
      <w:keepLines/>
      <w:keepNext/>
      <w:spacing w:before="320" w:after="200"/>
      <w:outlineLvl w:val="2"/>
    </w:pPr>
    <w:rPr>
      <w:rFonts w:ascii="Arial" w:hAnsi="Arial" w:cs="Arial"/>
      <w:sz w:val="30"/>
      <w:szCs w:val="30"/>
    </w:rPr>
  </w:style>
  <w:style w:type="paragraph" w:styleId="716">
    <w:name w:val="Heading 4"/>
    <w:basedOn w:val="712"/>
    <w:next w:val="712"/>
    <w:uiPriority w:val="9"/>
    <w:unhideWhenUsed/>
    <w:qFormat/>
    <w:pPr>
      <w:keepLines/>
      <w:keepNext/>
      <w:spacing w:before="320" w:after="200"/>
      <w:outlineLvl w:val="3"/>
    </w:pPr>
    <w:rPr>
      <w:rFonts w:ascii="Arial" w:hAnsi="Arial" w:cs="Arial"/>
      <w:b/>
      <w:bCs/>
      <w:sz w:val="26"/>
      <w:szCs w:val="26"/>
    </w:rPr>
  </w:style>
  <w:style w:type="paragraph" w:styleId="717">
    <w:name w:val="Heading 5"/>
    <w:basedOn w:val="712"/>
    <w:next w:val="712"/>
    <w:uiPriority w:val="9"/>
    <w:unhideWhenUsed/>
    <w:qFormat/>
    <w:pPr>
      <w:keepLines/>
      <w:keepNext/>
      <w:spacing w:before="320" w:after="200"/>
      <w:outlineLvl w:val="4"/>
    </w:pPr>
    <w:rPr>
      <w:rFonts w:ascii="Arial" w:hAnsi="Arial" w:cs="Arial"/>
      <w:b/>
      <w:bCs/>
      <w:sz w:val="24"/>
      <w:szCs w:val="24"/>
    </w:rPr>
  </w:style>
  <w:style w:type="paragraph" w:styleId="718">
    <w:name w:val="Heading 6"/>
    <w:basedOn w:val="712"/>
    <w:next w:val="712"/>
    <w:uiPriority w:val="9"/>
    <w:unhideWhenUsed/>
    <w:qFormat/>
    <w:pPr>
      <w:keepLines/>
      <w:keepNext/>
      <w:spacing w:before="320" w:after="200"/>
      <w:outlineLvl w:val="5"/>
    </w:pPr>
    <w:rPr>
      <w:rFonts w:ascii="Arial" w:hAnsi="Arial" w:cs="Arial"/>
      <w:b/>
      <w:bCs/>
      <w:sz w:val="22"/>
    </w:rPr>
  </w:style>
  <w:style w:type="paragraph" w:styleId="719">
    <w:name w:val="Heading 7"/>
    <w:basedOn w:val="712"/>
    <w:next w:val="712"/>
    <w:uiPriority w:val="9"/>
    <w:unhideWhenUsed/>
    <w:qFormat/>
    <w:pPr>
      <w:keepLines/>
      <w:keepNext/>
      <w:spacing w:before="320" w:after="200"/>
      <w:outlineLvl w:val="6"/>
    </w:pPr>
    <w:rPr>
      <w:rFonts w:ascii="Arial" w:hAnsi="Arial" w:cs="Arial"/>
      <w:b/>
      <w:bCs/>
      <w:i/>
      <w:iCs/>
      <w:sz w:val="22"/>
    </w:rPr>
  </w:style>
  <w:style w:type="paragraph" w:styleId="720">
    <w:name w:val="Heading 8"/>
    <w:basedOn w:val="712"/>
    <w:next w:val="712"/>
    <w:uiPriority w:val="9"/>
    <w:unhideWhenUsed/>
    <w:qFormat/>
    <w:pPr>
      <w:keepLines/>
      <w:keepNext/>
      <w:spacing w:before="320" w:after="200"/>
      <w:outlineLvl w:val="7"/>
    </w:pPr>
    <w:rPr>
      <w:rFonts w:ascii="Arial" w:hAnsi="Arial" w:cs="Arial"/>
      <w:i/>
      <w:iCs/>
      <w:sz w:val="22"/>
    </w:rPr>
  </w:style>
  <w:style w:type="paragraph" w:styleId="721">
    <w:name w:val="Heading 9"/>
    <w:basedOn w:val="712"/>
    <w:next w:val="712"/>
    <w:uiPriority w:val="9"/>
    <w:unhideWhenUsed/>
    <w:qFormat/>
    <w:pPr>
      <w:keepLines/>
      <w:keepNext/>
      <w:spacing w:before="320" w:after="200"/>
      <w:outlineLvl w:val="8"/>
    </w:pPr>
    <w:rPr>
      <w:rFonts w:ascii="Arial" w:hAnsi="Arial" w:cs="Arial"/>
      <w:i/>
      <w:iCs/>
      <w:szCs w:val="21"/>
    </w:rPr>
  </w:style>
  <w:style w:type="character" w:styleId="722" w:default="1">
    <w:name w:val="Default Paragraph Font"/>
    <w:uiPriority w:val="1"/>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Body Text"/>
    <w:basedOn w:val="712"/>
    <w:next w:val="712"/>
    <w:uiPriority w:val="99"/>
    <w:qFormat/>
    <w:rPr>
      <w:rFonts w:ascii="华文中宋" w:hAnsi="Times New Roman" w:eastAsia="华文中宋"/>
      <w:bCs/>
      <w:sz w:val="28"/>
      <w:szCs w:val="20"/>
    </w:rPr>
  </w:style>
  <w:style w:type="paragraph" w:styleId="725">
    <w:name w:val="toc 7"/>
    <w:basedOn w:val="712"/>
    <w:next w:val="712"/>
    <w:uiPriority w:val="39"/>
    <w:unhideWhenUsed/>
    <w:qFormat/>
    <w:pPr>
      <w:ind w:left="1701"/>
      <w:spacing w:after="57"/>
    </w:pPr>
  </w:style>
  <w:style w:type="paragraph" w:styleId="726">
    <w:name w:val="Normal Indent"/>
    <w:basedOn w:val="712"/>
    <w:uiPriority w:val="0"/>
    <w:qFormat/>
    <w:pPr>
      <w:ind w:firstLine="420"/>
    </w:pPr>
  </w:style>
  <w:style w:type="paragraph" w:styleId="727">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annotation text"/>
    <w:basedOn w:val="712"/>
    <w:uiPriority w:val="99"/>
    <w:semiHidden/>
    <w:unhideWhenUsed/>
    <w:qFormat/>
    <w:pPr>
      <w:jc w:val="left"/>
    </w:pPr>
  </w:style>
  <w:style w:type="paragraph" w:styleId="729">
    <w:name w:val="Body Text Indent"/>
    <w:basedOn w:val="712"/>
    <w:next w:val="730"/>
    <w:uiPriority w:val="99"/>
    <w:qFormat/>
    <w:pPr>
      <w:ind w:firstLine="576"/>
    </w:pPr>
    <w:rPr>
      <w:rFonts w:ascii="Times New Roman" w:hAnsi="Times New Roman" w:eastAsia="宋体"/>
      <w:b/>
      <w:sz w:val="30"/>
      <w:szCs w:val="20"/>
    </w:rPr>
  </w:style>
  <w:style w:type="paragraph" w:styleId="730">
    <w:name w:val="envelope return"/>
    <w:basedOn w:val="712"/>
    <w:uiPriority w:val="99"/>
    <w:unhideWhenUsed/>
    <w:qFormat/>
    <w:rPr>
      <w:rFonts w:ascii="Arial" w:hAnsi="Arial"/>
    </w:rPr>
  </w:style>
  <w:style w:type="paragraph" w:styleId="731">
    <w:name w:val="toc 5"/>
    <w:basedOn w:val="712"/>
    <w:next w:val="712"/>
    <w:uiPriority w:val="39"/>
    <w:unhideWhenUsed/>
    <w:qFormat/>
    <w:pPr>
      <w:ind w:left="1134"/>
      <w:spacing w:after="57"/>
    </w:pPr>
  </w:style>
  <w:style w:type="paragraph" w:styleId="732">
    <w:name w:val="toc 3"/>
    <w:basedOn w:val="712"/>
    <w:next w:val="712"/>
    <w:uiPriority w:val="39"/>
    <w:unhideWhenUsed/>
    <w:qFormat/>
    <w:pPr>
      <w:ind w:left="567"/>
      <w:spacing w:after="57"/>
    </w:pPr>
  </w:style>
  <w:style w:type="paragraph" w:styleId="733">
    <w:name w:val="toc 8"/>
    <w:basedOn w:val="712"/>
    <w:next w:val="712"/>
    <w:uiPriority w:val="39"/>
    <w:unhideWhenUsed/>
    <w:qFormat/>
    <w:pPr>
      <w:ind w:left="1984"/>
      <w:spacing w:after="57"/>
    </w:pPr>
  </w:style>
  <w:style w:type="paragraph" w:styleId="734">
    <w:name w:val="endnote text"/>
    <w:basedOn w:val="712"/>
    <w:uiPriority w:val="99"/>
    <w:semiHidden/>
    <w:unhideWhenUsed/>
    <w:qFormat/>
    <w:rPr>
      <w:sz w:val="20"/>
    </w:rPr>
  </w:style>
  <w:style w:type="paragraph" w:styleId="735">
    <w:name w:val="Balloon Text"/>
    <w:basedOn w:val="712"/>
    <w:link w:val="1186"/>
    <w:uiPriority w:val="99"/>
    <w:semiHidden/>
    <w:unhideWhenUsed/>
    <w:qFormat/>
    <w:rPr>
      <w:sz w:val="18"/>
      <w:szCs w:val="18"/>
    </w:rPr>
  </w:style>
  <w:style w:type="paragraph" w:styleId="736">
    <w:name w:val="Footer"/>
    <w:basedOn w:val="712"/>
    <w:uiPriority w:val="99"/>
    <w:unhideWhenUsed/>
    <w:qFormat/>
    <w:pPr>
      <w:tabs>
        <w:tab w:val="center" w:pos="7143" w:leader="none"/>
        <w:tab w:val="right" w:pos="14287" w:leader="none"/>
      </w:tabs>
    </w:pPr>
  </w:style>
  <w:style w:type="paragraph" w:styleId="737">
    <w:name w:val="Header"/>
    <w:basedOn w:val="712"/>
    <w:uiPriority w:val="99"/>
    <w:unhideWhenUsed/>
    <w:qFormat/>
    <w:pPr>
      <w:tabs>
        <w:tab w:val="center" w:pos="7143" w:leader="none"/>
        <w:tab w:val="right" w:pos="14287" w:leader="none"/>
      </w:tabs>
    </w:pPr>
  </w:style>
  <w:style w:type="paragraph" w:styleId="738">
    <w:name w:val="toc 1"/>
    <w:basedOn w:val="712"/>
    <w:next w:val="712"/>
    <w:uiPriority w:val="39"/>
    <w:unhideWhenUsed/>
    <w:qFormat/>
    <w:pPr>
      <w:spacing w:after="57"/>
    </w:pPr>
  </w:style>
  <w:style w:type="paragraph" w:styleId="739">
    <w:name w:val="toc 4"/>
    <w:basedOn w:val="712"/>
    <w:next w:val="712"/>
    <w:uiPriority w:val="39"/>
    <w:unhideWhenUsed/>
    <w:qFormat/>
    <w:pPr>
      <w:ind w:left="850"/>
      <w:spacing w:after="57"/>
    </w:pPr>
  </w:style>
  <w:style w:type="paragraph" w:styleId="740">
    <w:name w:val="Subtitle"/>
    <w:basedOn w:val="712"/>
    <w:next w:val="712"/>
    <w:uiPriority w:val="11"/>
    <w:qFormat/>
    <w:pPr>
      <w:spacing w:before="200" w:after="200"/>
    </w:pPr>
    <w:rPr>
      <w:sz w:val="24"/>
      <w:szCs w:val="24"/>
    </w:rPr>
  </w:style>
  <w:style w:type="paragraph" w:styleId="741">
    <w:name w:val="List"/>
    <w:basedOn w:val="712"/>
    <w:uiPriority w:val="0"/>
    <w:qFormat/>
    <w:pPr>
      <w:ind w:left="360" w:hanging="360"/>
      <w:spacing w:after="20" w:line="288" w:lineRule="auto"/>
      <w:tabs>
        <w:tab w:val="left" w:pos="360" w:leader="none"/>
      </w:tabs>
    </w:pPr>
    <w:rPr>
      <w:szCs w:val="20"/>
      <w:lang w:val="en-GB"/>
    </w:rPr>
  </w:style>
  <w:style w:type="paragraph" w:styleId="742">
    <w:name w:val="footnote text"/>
    <w:basedOn w:val="712"/>
    <w:uiPriority w:val="99"/>
    <w:semiHidden/>
    <w:unhideWhenUsed/>
    <w:qFormat/>
    <w:pPr>
      <w:spacing w:after="40"/>
    </w:pPr>
    <w:rPr>
      <w:sz w:val="18"/>
    </w:rPr>
  </w:style>
  <w:style w:type="paragraph" w:styleId="743">
    <w:name w:val="toc 6"/>
    <w:basedOn w:val="712"/>
    <w:next w:val="712"/>
    <w:uiPriority w:val="39"/>
    <w:unhideWhenUsed/>
    <w:qFormat/>
    <w:pPr>
      <w:ind w:left="1417"/>
      <w:spacing w:after="57"/>
    </w:pPr>
  </w:style>
  <w:style w:type="paragraph" w:styleId="744">
    <w:name w:val="table of figures"/>
    <w:basedOn w:val="712"/>
    <w:next w:val="712"/>
    <w:uiPriority w:val="99"/>
    <w:unhideWhenUsed/>
    <w:qFormat/>
  </w:style>
  <w:style w:type="paragraph" w:styleId="745">
    <w:name w:val="toc 2"/>
    <w:basedOn w:val="712"/>
    <w:next w:val="712"/>
    <w:uiPriority w:val="39"/>
    <w:unhideWhenUsed/>
    <w:qFormat/>
    <w:pPr>
      <w:ind w:left="283"/>
      <w:spacing w:after="57"/>
    </w:pPr>
  </w:style>
  <w:style w:type="paragraph" w:styleId="746">
    <w:name w:val="toc 9"/>
    <w:basedOn w:val="712"/>
    <w:next w:val="712"/>
    <w:uiPriority w:val="39"/>
    <w:unhideWhenUsed/>
    <w:qFormat/>
    <w:pPr>
      <w:ind w:left="2268"/>
      <w:spacing w:after="57"/>
    </w:pPr>
  </w:style>
  <w:style w:type="paragraph" w:styleId="747">
    <w:name w:val="Body Text 2"/>
    <w:basedOn w:val="712"/>
    <w:uiPriority w:val="0"/>
    <w:qFormat/>
    <w:pPr>
      <w:spacing w:after="120" w:line="480" w:lineRule="auto"/>
    </w:pPr>
  </w:style>
  <w:style w:type="paragraph" w:styleId="748">
    <w:name w:val="Normal (Web)"/>
    <w:basedOn w:val="712"/>
    <w:uiPriority w:val="0"/>
    <w:qFormat/>
    <w:pPr>
      <w:ind w:firstLine="420"/>
      <w:jc w:val="left"/>
      <w:spacing w:before="100" w:beforeAutospacing="1" w:after="100" w:afterAutospacing="1" w:line="288" w:lineRule="auto"/>
      <w:widowControl/>
    </w:pPr>
    <w:rPr>
      <w:rFonts w:ascii="宋体" w:hAnsi="宋体"/>
      <w:sz w:val="24"/>
    </w:rPr>
  </w:style>
  <w:style w:type="paragraph" w:styleId="749">
    <w:name w:val="Title"/>
    <w:basedOn w:val="712"/>
    <w:next w:val="712"/>
    <w:uiPriority w:val="10"/>
    <w:qFormat/>
    <w:pPr>
      <w:contextualSpacing/>
      <w:spacing w:before="300" w:after="200"/>
    </w:pPr>
    <w:rPr>
      <w:sz w:val="48"/>
      <w:szCs w:val="48"/>
    </w:rPr>
  </w:style>
  <w:style w:type="paragraph" w:styleId="750">
    <w:name w:val="Body Text First Indent"/>
    <w:basedOn w:val="724"/>
    <w:next w:val="751"/>
    <w:uiPriority w:val="99"/>
    <w:unhideWhenUsed/>
    <w:qFormat/>
    <w:pPr>
      <w:ind w:firstLine="420"/>
      <w:spacing w:after="120"/>
    </w:pPr>
    <w:rPr>
      <w:rFonts w:ascii="Calibri" w:hAnsi="Calibri" w:eastAsia="宋体"/>
      <w:sz w:val="21"/>
      <w:szCs w:val="22"/>
    </w:rPr>
  </w:style>
  <w:style w:type="paragraph" w:styleId="751">
    <w:name w:val="Body Text First Indent 2"/>
    <w:basedOn w:val="729"/>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Strong"/>
    <w:basedOn w:val="722"/>
    <w:uiPriority w:val="22"/>
    <w:qFormat/>
    <w:rPr>
      <w:b/>
    </w:rPr>
  </w:style>
  <w:style w:type="character" w:styleId="754">
    <w:name w:val="endnote reference"/>
    <w:uiPriority w:val="99"/>
    <w:semiHidden/>
    <w:unhideWhenUsed/>
    <w:qFormat/>
    <w:rPr>
      <w:vertAlign w:val="superscript"/>
    </w:rPr>
  </w:style>
  <w:style w:type="character" w:styleId="755">
    <w:name w:val="Emphasis"/>
    <w:uiPriority w:val="0"/>
    <w:qFormat/>
    <w:rPr>
      <w:rFonts w:ascii="Times New Roman" w:hAnsi="Times New Roman" w:eastAsia="宋体" w:cs="Times New Roman"/>
      <w:i/>
    </w:rPr>
  </w:style>
  <w:style w:type="character" w:styleId="756">
    <w:name w:val="Hyperlink"/>
    <w:basedOn w:val="722"/>
    <w:uiPriority w:val="99"/>
    <w:unhideWhenUsed/>
    <w:qFormat/>
    <w:rPr>
      <w:color w:val="0000ff" w:themeColor="hyperlink"/>
      <w:u w:val="single"/>
      <w14:textFill>
        <w14:solidFill>
          <w14:schemeClr w14:val="hlink"/>
        </w14:solidFill>
      </w14:textFill>
    </w:rPr>
  </w:style>
  <w:style w:type="character" w:styleId="757">
    <w:name w:val="annotation reference"/>
    <w:basedOn w:val="722"/>
    <w:uiPriority w:val="99"/>
    <w:semiHidden/>
    <w:unhideWhenUsed/>
    <w:qFormat/>
    <w:rPr>
      <w:sz w:val="21"/>
      <w:szCs w:val="21"/>
    </w:rPr>
  </w:style>
  <w:style w:type="character" w:styleId="758">
    <w:name w:val="footnote reference"/>
    <w:uiPriority w:val="99"/>
    <w:unhideWhenUsed/>
    <w:qFormat/>
    <w:rPr>
      <w:vertAlign w:val="superscript"/>
    </w:rPr>
  </w:style>
  <w:style w:type="paragraph" w:styleId="759" w:customStyle="1">
    <w:name w:val="索引 41"/>
    <w:basedOn w:val="712"/>
    <w:next w:val="712"/>
    <w:uiPriority w:val="99"/>
    <w:qFormat/>
    <w:pPr>
      <w:ind w:left="600"/>
    </w:pPr>
    <w:rPr>
      <w:szCs w:val="24"/>
    </w:rPr>
  </w:style>
  <w:style w:type="paragraph" w:styleId="760" w:customStyle="1">
    <w:name w:val="TOC 标题1"/>
    <w:uiPriority w:val="39"/>
    <w:unhideWhenUsed/>
    <w:qFormat/>
    <w:rPr>
      <w:rFonts w:ascii="Times New Roman" w:hAnsi="Times New Roman" w:eastAsia="宋体" w:cs="Times New Roman"/>
      <w:lang w:val="en-US" w:eastAsia="zh-CN" w:bidi="ar-SA"/>
    </w:rPr>
  </w:style>
  <w:style w:type="paragraph" w:styleId="761" w:customStyle="1">
    <w:name w:val="标题 411"/>
    <w:basedOn w:val="712"/>
    <w:next w:val="712"/>
    <w:link w:val="778"/>
    <w:uiPriority w:val="9"/>
    <w:qFormat/>
    <w:pPr>
      <w:keepNext/>
      <w:outlineLvl w:val="3"/>
    </w:pPr>
    <w:rPr>
      <w:rFonts w:ascii="Times New Roman" w:hAnsi="Times New Roman" w:eastAsia="楷体_GB2312"/>
      <w:b/>
      <w:bCs/>
      <w:sz w:val="15"/>
      <w:szCs w:val="20"/>
    </w:rPr>
  </w:style>
  <w:style w:type="paragraph" w:styleId="762" w:customStyle="1">
    <w:name w:val="标题 111"/>
    <w:basedOn w:val="712"/>
    <w:next w:val="712"/>
    <w:link w:val="774"/>
    <w:uiPriority w:val="9"/>
    <w:qFormat/>
    <w:pPr>
      <w:jc w:val="center"/>
      <w:keepNext/>
      <w:outlineLvl w:val="0"/>
    </w:pPr>
    <w:rPr>
      <w:rFonts w:ascii="楷体_GB2312" w:hAnsi="Times New Roman" w:eastAsia="楷体_GB2312"/>
      <w:b/>
      <w:sz w:val="28"/>
      <w:szCs w:val="20"/>
    </w:rPr>
  </w:style>
  <w:style w:type="paragraph" w:styleId="763" w:customStyle="1">
    <w:name w:val="标题 211"/>
    <w:basedOn w:val="712"/>
    <w:next w:val="712"/>
    <w:link w:val="775"/>
    <w:uiPriority w:val="9"/>
    <w:qFormat/>
    <w:pPr>
      <w:jc w:val="center"/>
      <w:keepNext/>
      <w:outlineLvl w:val="1"/>
    </w:pPr>
    <w:rPr>
      <w:rFonts w:ascii="楷体_GB2312" w:hAnsi="Times New Roman" w:eastAsia="楷体_GB2312"/>
      <w:b/>
      <w:bCs/>
      <w:sz w:val="18"/>
      <w:szCs w:val="20"/>
    </w:rPr>
  </w:style>
  <w:style w:type="paragraph" w:styleId="764" w:customStyle="1">
    <w:name w:val="标题 311"/>
    <w:basedOn w:val="765"/>
    <w:next w:val="712"/>
    <w:link w:val="777"/>
    <w:uiPriority w:val="9"/>
    <w:qFormat/>
    <w:pPr>
      <w:jc w:val="left"/>
      <w:keepNext/>
    </w:pPr>
    <w:rPr>
      <w:rFonts w:ascii="Arial" w:hAnsi="Arial" w:eastAsia="Arial"/>
      <w:bCs/>
      <w:sz w:val="24"/>
      <w:szCs w:val="24"/>
      <w:lang w:eastAsia="zh-CN"/>
    </w:rPr>
  </w:style>
  <w:style w:type="paragraph" w:styleId="765" w:customStyle="1">
    <w:name w:val="Cn Heading3"/>
    <w:basedOn w:val="766"/>
    <w:uiPriority w:val="0"/>
    <w:qFormat/>
    <w:pPr>
      <w:ind w:firstLine="0"/>
      <w:spacing w:line="480" w:lineRule="auto"/>
      <w:outlineLvl w:val="2"/>
    </w:pPr>
    <w:rPr>
      <w:rFonts w:ascii="微软雅黑" w:hAnsi="微软雅黑" w:eastAsia="微软雅黑"/>
      <w:b/>
      <w:sz w:val="28"/>
      <w:szCs w:val="28"/>
      <w:lang w:eastAsia="ja-JP"/>
    </w:rPr>
  </w:style>
  <w:style w:type="paragraph" w:styleId="766" w:customStyle="1">
    <w:name w:val="列出段落1"/>
    <w:basedOn w:val="712"/>
    <w:link w:val="776"/>
    <w:uiPriority w:val="0"/>
    <w:qFormat/>
    <w:pPr>
      <w:ind w:firstLine="420"/>
      <w:spacing w:before="120" w:after="120" w:line="360" w:lineRule="auto"/>
    </w:pPr>
    <w:rPr>
      <w:rFonts w:eastAsia="宋体"/>
      <w:sz w:val="24"/>
    </w:rPr>
  </w:style>
  <w:style w:type="paragraph" w:styleId="767" w:customStyle="1">
    <w:name w:val="标题 511"/>
    <w:basedOn w:val="712"/>
    <w:next w:val="712"/>
    <w:link w:val="779"/>
    <w:uiPriority w:val="9"/>
    <w:qFormat/>
    <w:pPr>
      <w:numPr>
        <w:ilvl w:val="0"/>
        <w:numId w:val="1"/>
      </w:numPr>
      <w:keepNext/>
      <w:outlineLvl w:val="4"/>
    </w:pPr>
    <w:rPr>
      <w:rFonts w:ascii="楷体_GB2312" w:hAnsi="Times New Roman" w:eastAsia="楷体_GB2312"/>
      <w:bCs/>
      <w:sz w:val="28"/>
      <w:szCs w:val="20"/>
    </w:rPr>
  </w:style>
  <w:style w:type="paragraph" w:styleId="768" w:customStyle="1">
    <w:name w:val="标题 611"/>
    <w:basedOn w:val="712"/>
    <w:next w:val="712"/>
    <w:link w:val="780"/>
    <w:uiPriority w:val="9"/>
    <w:qFormat/>
    <w:pPr>
      <w:keepLines/>
      <w:keepNext/>
      <w:spacing w:before="320" w:after="200"/>
      <w:outlineLvl w:val="5"/>
    </w:pPr>
    <w:rPr>
      <w:rFonts w:ascii="Arial" w:hAnsi="Arial" w:cs="Arial"/>
      <w:b/>
      <w:bCs/>
      <w:sz w:val="22"/>
    </w:rPr>
  </w:style>
  <w:style w:type="paragraph" w:styleId="769" w:customStyle="1">
    <w:name w:val="标题 711"/>
    <w:basedOn w:val="712"/>
    <w:next w:val="712"/>
    <w:link w:val="781"/>
    <w:uiPriority w:val="9"/>
    <w:qFormat/>
    <w:pPr>
      <w:keepLines/>
      <w:keepNext/>
      <w:spacing w:before="320" w:after="200"/>
      <w:outlineLvl w:val="6"/>
    </w:pPr>
    <w:rPr>
      <w:rFonts w:ascii="Arial" w:hAnsi="Arial" w:cs="Arial"/>
      <w:b/>
      <w:bCs/>
      <w:i/>
      <w:iCs/>
      <w:sz w:val="22"/>
    </w:rPr>
  </w:style>
  <w:style w:type="paragraph" w:styleId="770" w:customStyle="1">
    <w:name w:val="标题 811"/>
    <w:basedOn w:val="712"/>
    <w:next w:val="712"/>
    <w:link w:val="782"/>
    <w:uiPriority w:val="9"/>
    <w:qFormat/>
    <w:pPr>
      <w:keepLines/>
      <w:keepNext/>
      <w:spacing w:before="320" w:after="200"/>
      <w:outlineLvl w:val="7"/>
    </w:pPr>
    <w:rPr>
      <w:rFonts w:ascii="Arial" w:hAnsi="Arial" w:cs="Arial"/>
      <w:i/>
      <w:iCs/>
      <w:sz w:val="22"/>
    </w:rPr>
  </w:style>
  <w:style w:type="paragraph" w:styleId="771" w:customStyle="1">
    <w:name w:val="标题 911"/>
    <w:basedOn w:val="712"/>
    <w:next w:val="712"/>
    <w:link w:val="783"/>
    <w:uiPriority w:val="9"/>
    <w:qFormat/>
    <w:pPr>
      <w:keepLines/>
      <w:keepNext/>
      <w:spacing w:before="320" w:after="200"/>
      <w:outlineLvl w:val="8"/>
    </w:pPr>
    <w:rPr>
      <w:rFonts w:ascii="Arial" w:hAnsi="Arial" w:cs="Arial"/>
      <w:i/>
      <w:iCs/>
      <w:szCs w:val="21"/>
    </w:rPr>
  </w:style>
  <w:style w:type="character" w:styleId="772" w:customStyle="1">
    <w:name w:val="默认段落字体11"/>
    <w:uiPriority w:val="1"/>
    <w:unhideWhenUsed/>
    <w:qFormat/>
  </w:style>
  <w:style w:type="table" w:styleId="773" w:customStyle="1">
    <w:name w:val="普通表格11"/>
    <w:uiPriority w:val="99"/>
    <w:unhideWhenUsed/>
    <w:qFormat/>
    <w:tblPr>
      <w:tblCellMar>
        <w:left w:w="0" w:type="dxa"/>
        <w:top w:w="0" w:type="dxa"/>
        <w:right w:w="0" w:type="dxa"/>
        <w:bottom w:w="0" w:type="dxa"/>
      </w:tblCellMar>
    </w:tblPr>
  </w:style>
  <w:style w:type="character" w:styleId="774" w:customStyle="1">
    <w:name w:val="标题 1 Char1"/>
    <w:basedOn w:val="772"/>
    <w:link w:val="762"/>
    <w:uiPriority w:val="9"/>
    <w:qFormat/>
    <w:rPr>
      <w:rFonts w:ascii="楷体_GB2312" w:hAnsi="Times New Roman" w:eastAsia="楷体_GB2312" w:cs="Times New Roman"/>
      <w:b/>
      <w:sz w:val="28"/>
      <w:szCs w:val="20"/>
    </w:rPr>
  </w:style>
  <w:style w:type="character" w:styleId="775" w:customStyle="1">
    <w:name w:val="标题 2 Char1"/>
    <w:basedOn w:val="772"/>
    <w:link w:val="763"/>
    <w:uiPriority w:val="9"/>
    <w:qFormat/>
    <w:rPr>
      <w:rFonts w:ascii="楷体_GB2312" w:hAnsi="Times New Roman" w:eastAsia="楷体_GB2312" w:cs="Times New Roman"/>
      <w:b/>
      <w:bCs/>
      <w:sz w:val="18"/>
      <w:szCs w:val="20"/>
    </w:rPr>
  </w:style>
  <w:style w:type="character" w:styleId="776" w:customStyle="1">
    <w:name w:val="列出段落 Char"/>
    <w:link w:val="766"/>
    <w:uiPriority w:val="0"/>
    <w:qFormat/>
    <w:rPr>
      <w:rFonts w:ascii="Calibri" w:hAnsi="Calibri" w:eastAsia="宋体" w:cs="Times New Roman"/>
      <w:sz w:val="24"/>
      <w:szCs w:val="22"/>
    </w:rPr>
  </w:style>
  <w:style w:type="character" w:styleId="777" w:customStyle="1">
    <w:name w:val="标题 3 Char1"/>
    <w:basedOn w:val="772"/>
    <w:link w:val="764"/>
    <w:uiPriority w:val="9"/>
    <w:qFormat/>
    <w:rPr>
      <w:rFonts w:ascii="Arial" w:hAnsi="Arial"/>
      <w:b/>
      <w:bCs/>
      <w:sz w:val="24"/>
      <w:szCs w:val="24"/>
    </w:rPr>
  </w:style>
  <w:style w:type="character" w:styleId="778" w:customStyle="1">
    <w:name w:val="标题 4 Char1"/>
    <w:basedOn w:val="772"/>
    <w:link w:val="761"/>
    <w:uiPriority w:val="9"/>
    <w:qFormat/>
    <w:rPr>
      <w:rFonts w:ascii="Times New Roman" w:hAnsi="Times New Roman" w:eastAsia="楷体_GB2312" w:cs="Times New Roman"/>
      <w:b/>
      <w:bCs/>
      <w:sz w:val="15"/>
    </w:rPr>
  </w:style>
  <w:style w:type="character" w:styleId="779" w:customStyle="1">
    <w:name w:val="标题 5 Char1"/>
    <w:basedOn w:val="772"/>
    <w:link w:val="767"/>
    <w:uiPriority w:val="9"/>
    <w:qFormat/>
    <w:rPr>
      <w:rFonts w:ascii="楷体_GB2312" w:hAnsi="Times New Roman" w:eastAsia="楷体_GB2312" w:cs="Times New Roman"/>
      <w:bCs/>
      <w:sz w:val="28"/>
    </w:rPr>
  </w:style>
  <w:style w:type="character" w:styleId="780" w:customStyle="1">
    <w:name w:val="标题 6 Char1"/>
    <w:basedOn w:val="772"/>
    <w:link w:val="768"/>
    <w:uiPriority w:val="9"/>
    <w:qFormat/>
    <w:rPr>
      <w:rFonts w:ascii="Arial" w:hAnsi="Arial" w:eastAsia="Arial" w:cs="Arial"/>
      <w:b/>
      <w:bCs/>
      <w:sz w:val="22"/>
      <w:szCs w:val="22"/>
    </w:rPr>
  </w:style>
  <w:style w:type="character" w:styleId="781" w:customStyle="1">
    <w:name w:val="标题 7 Char1"/>
    <w:basedOn w:val="772"/>
    <w:link w:val="769"/>
    <w:uiPriority w:val="9"/>
    <w:qFormat/>
    <w:rPr>
      <w:rFonts w:ascii="Arial" w:hAnsi="Arial" w:eastAsia="Arial" w:cs="Arial"/>
      <w:b/>
      <w:bCs/>
      <w:i/>
      <w:iCs/>
      <w:sz w:val="22"/>
      <w:szCs w:val="22"/>
    </w:rPr>
  </w:style>
  <w:style w:type="character" w:styleId="782" w:customStyle="1">
    <w:name w:val="标题 8 Char1"/>
    <w:basedOn w:val="772"/>
    <w:link w:val="770"/>
    <w:uiPriority w:val="9"/>
    <w:qFormat/>
    <w:rPr>
      <w:rFonts w:ascii="Arial" w:hAnsi="Arial" w:eastAsia="Arial" w:cs="Arial"/>
      <w:i/>
      <w:iCs/>
      <w:sz w:val="22"/>
      <w:szCs w:val="22"/>
    </w:rPr>
  </w:style>
  <w:style w:type="character" w:styleId="783" w:customStyle="1">
    <w:name w:val="标题 9 Char1"/>
    <w:basedOn w:val="772"/>
    <w:link w:val="771"/>
    <w:uiPriority w:val="9"/>
    <w:qFormat/>
    <w:rPr>
      <w:rFonts w:ascii="Arial" w:hAnsi="Arial" w:eastAsia="Arial" w:cs="Arial"/>
      <w:i/>
      <w:iCs/>
      <w:sz w:val="21"/>
      <w:szCs w:val="21"/>
    </w:rPr>
  </w:style>
  <w:style w:type="paragraph" w:styleId="784" w:customStyle="1">
    <w:name w:val="目录 7111"/>
    <w:basedOn w:val="712"/>
    <w:next w:val="712"/>
    <w:uiPriority w:val="39"/>
    <w:unhideWhenUsed/>
    <w:qFormat/>
    <w:pPr>
      <w:ind w:left="1701"/>
      <w:spacing w:after="57"/>
    </w:pPr>
    <w:rPr>
      <w:rFonts w:ascii="Times New Roman" w:hAnsi="Times New Roman" w:eastAsia="宋体"/>
      <w:szCs w:val="21"/>
    </w:rPr>
  </w:style>
  <w:style w:type="paragraph" w:styleId="785" w:customStyle="1">
    <w:name w:val="正文缩进11"/>
    <w:basedOn w:val="712"/>
    <w:uiPriority w:val="99"/>
    <w:qFormat/>
    <w:pPr>
      <w:ind w:firstLine="420"/>
    </w:pPr>
    <w:rPr>
      <w:rFonts w:ascii="Times New Roman" w:hAnsi="Times New Roman" w:eastAsia="宋体"/>
      <w:szCs w:val="20"/>
    </w:rPr>
  </w:style>
  <w:style w:type="paragraph" w:styleId="786" w:customStyle="1">
    <w:name w:val="题注1"/>
    <w:basedOn w:val="712"/>
    <w:next w:val="712"/>
    <w:uiPriority w:val="35"/>
    <w:qFormat/>
    <w:pPr>
      <w:spacing w:line="276" w:lineRule="auto"/>
    </w:pPr>
    <w:rPr>
      <w:rFonts w:ascii="Times New Roman" w:hAnsi="Times New Roman" w:eastAsia="宋体"/>
      <w:b/>
      <w:bCs/>
      <w:color w:val="4f81bd"/>
      <w:sz w:val="18"/>
      <w:szCs w:val="18"/>
    </w:rPr>
  </w:style>
  <w:style w:type="paragraph" w:styleId="787" w:customStyle="1">
    <w:name w:val="文档结构图11"/>
    <w:basedOn w:val="712"/>
    <w:link w:val="788"/>
    <w:uiPriority w:val="99"/>
    <w:semiHidden/>
    <w:qFormat/>
    <w:pPr>
      <w:shd w:val="clear" w:color="auto" w:fill="000080"/>
    </w:pPr>
    <w:rPr>
      <w:rFonts w:ascii="Times New Roman" w:hAnsi="Times New Roman" w:eastAsia="宋体"/>
      <w:sz w:val="20"/>
      <w:szCs w:val="20"/>
    </w:rPr>
  </w:style>
  <w:style w:type="character" w:styleId="788" w:customStyle="1">
    <w:name w:val="文档结构图 Char1"/>
    <w:basedOn w:val="772"/>
    <w:link w:val="787"/>
    <w:uiPriority w:val="99"/>
    <w:semiHidden/>
    <w:qFormat/>
    <w:rPr>
      <w:rFonts w:ascii="Times New Roman" w:hAnsi="Times New Roman" w:eastAsia="宋体" w:cs="Times New Roman"/>
      <w:sz w:val="20"/>
      <w:szCs w:val="20"/>
      <w:shd w:val="clear" w:color="auto" w:fill="000080"/>
    </w:rPr>
  </w:style>
  <w:style w:type="paragraph" w:styleId="789" w:customStyle="1">
    <w:name w:val="批注文字11"/>
    <w:basedOn w:val="712"/>
    <w:link w:val="790"/>
    <w:uiPriority w:val="99"/>
    <w:unhideWhenUsed/>
    <w:qFormat/>
    <w:pPr>
      <w:jc w:val="left"/>
    </w:pPr>
  </w:style>
  <w:style w:type="character" w:styleId="790" w:customStyle="1">
    <w:name w:val="批注文字 Char1"/>
    <w:basedOn w:val="772"/>
    <w:link w:val="789"/>
    <w:uiPriority w:val="99"/>
    <w:semiHidden/>
    <w:qFormat/>
  </w:style>
  <w:style w:type="paragraph" w:styleId="791" w:customStyle="1">
    <w:name w:val="正文文本11"/>
    <w:basedOn w:val="712"/>
    <w:link w:val="792"/>
    <w:uiPriority w:val="99"/>
    <w:qFormat/>
    <w:rPr>
      <w:rFonts w:ascii="华文中宋" w:hAnsi="Times New Roman" w:eastAsia="华文中宋"/>
      <w:bCs/>
      <w:sz w:val="28"/>
      <w:szCs w:val="20"/>
    </w:rPr>
  </w:style>
  <w:style w:type="character" w:styleId="792" w:customStyle="1">
    <w:name w:val="正文文本 Char1"/>
    <w:basedOn w:val="772"/>
    <w:link w:val="791"/>
    <w:uiPriority w:val="99"/>
    <w:qFormat/>
    <w:rPr>
      <w:rFonts w:ascii="华文中宋" w:hAnsi="Times New Roman" w:eastAsia="华文中宋" w:cs="Times New Roman"/>
      <w:bCs/>
      <w:sz w:val="28"/>
      <w:szCs w:val="20"/>
    </w:rPr>
  </w:style>
  <w:style w:type="paragraph" w:styleId="793" w:customStyle="1">
    <w:name w:val="正文文本缩进11"/>
    <w:basedOn w:val="712"/>
    <w:link w:val="794"/>
    <w:uiPriority w:val="99"/>
    <w:qFormat/>
    <w:pPr>
      <w:ind w:firstLine="576"/>
    </w:pPr>
    <w:rPr>
      <w:rFonts w:ascii="Times New Roman" w:hAnsi="Times New Roman" w:eastAsia="宋体"/>
      <w:b/>
      <w:sz w:val="30"/>
      <w:szCs w:val="20"/>
    </w:rPr>
  </w:style>
  <w:style w:type="character" w:styleId="794" w:customStyle="1">
    <w:name w:val="正文文本缩进 Char1"/>
    <w:basedOn w:val="772"/>
    <w:link w:val="793"/>
    <w:uiPriority w:val="99"/>
    <w:qFormat/>
    <w:rPr>
      <w:rFonts w:ascii="Times New Roman" w:hAnsi="Times New Roman" w:eastAsia="宋体" w:cs="Times New Roman"/>
      <w:b/>
      <w:sz w:val="30"/>
      <w:szCs w:val="20"/>
    </w:rPr>
  </w:style>
  <w:style w:type="paragraph" w:styleId="795" w:customStyle="1">
    <w:name w:val="目录 5111"/>
    <w:basedOn w:val="712"/>
    <w:next w:val="712"/>
    <w:uiPriority w:val="39"/>
    <w:unhideWhenUsed/>
    <w:qFormat/>
    <w:pPr>
      <w:ind w:left="1134"/>
      <w:spacing w:after="57"/>
    </w:pPr>
    <w:rPr>
      <w:rFonts w:ascii="Times New Roman" w:hAnsi="Times New Roman" w:eastAsia="宋体"/>
      <w:szCs w:val="21"/>
    </w:rPr>
  </w:style>
  <w:style w:type="paragraph" w:styleId="796" w:customStyle="1">
    <w:name w:val="目录 3111"/>
    <w:basedOn w:val="712"/>
    <w:next w:val="712"/>
    <w:uiPriority w:val="39"/>
    <w:unhideWhenUsed/>
    <w:qFormat/>
    <w:pPr>
      <w:ind w:left="567"/>
      <w:spacing w:after="57"/>
    </w:pPr>
    <w:rPr>
      <w:rFonts w:ascii="Times New Roman" w:hAnsi="Times New Roman" w:eastAsia="宋体"/>
      <w:szCs w:val="21"/>
    </w:rPr>
  </w:style>
  <w:style w:type="paragraph" w:styleId="797" w:customStyle="1">
    <w:name w:val="纯文本11"/>
    <w:basedOn w:val="712"/>
    <w:uiPriority w:val="0"/>
    <w:qFormat/>
    <w:rPr>
      <w:rFonts w:ascii="黑体"/>
      <w:szCs w:val="21"/>
    </w:rPr>
  </w:style>
  <w:style w:type="paragraph" w:styleId="798" w:customStyle="1">
    <w:name w:val="目录 8111"/>
    <w:basedOn w:val="712"/>
    <w:next w:val="712"/>
    <w:uiPriority w:val="39"/>
    <w:unhideWhenUsed/>
    <w:qFormat/>
    <w:pPr>
      <w:ind w:left="1984"/>
      <w:spacing w:after="57"/>
    </w:pPr>
    <w:rPr>
      <w:rFonts w:ascii="Times New Roman" w:hAnsi="Times New Roman" w:eastAsia="宋体"/>
      <w:szCs w:val="21"/>
    </w:rPr>
  </w:style>
  <w:style w:type="paragraph" w:styleId="799" w:customStyle="1">
    <w:name w:val="日期11"/>
    <w:basedOn w:val="712"/>
    <w:next w:val="712"/>
    <w:link w:val="800"/>
    <w:uiPriority w:val="99"/>
    <w:qFormat/>
    <w:rPr>
      <w:rFonts w:ascii="Times New Roman" w:hAnsi="Times New Roman" w:eastAsia="黑体"/>
      <w:b/>
      <w:sz w:val="36"/>
      <w:szCs w:val="20"/>
    </w:rPr>
  </w:style>
  <w:style w:type="character" w:styleId="800" w:customStyle="1">
    <w:name w:val="日期 Char1"/>
    <w:basedOn w:val="772"/>
    <w:link w:val="799"/>
    <w:uiPriority w:val="99"/>
    <w:qFormat/>
    <w:rPr>
      <w:rFonts w:ascii="Times New Roman" w:hAnsi="Times New Roman" w:eastAsia="黑体" w:cs="Times New Roman"/>
      <w:b/>
      <w:sz w:val="36"/>
      <w:szCs w:val="20"/>
    </w:rPr>
  </w:style>
  <w:style w:type="paragraph" w:styleId="801" w:customStyle="1">
    <w:name w:val="正文文本缩进 211"/>
    <w:basedOn w:val="712"/>
    <w:link w:val="802"/>
    <w:uiPriority w:val="99"/>
    <w:qFormat/>
    <w:pPr>
      <w:ind w:left="900"/>
    </w:pPr>
    <w:rPr>
      <w:rFonts w:ascii="楷体_GB2312" w:hAnsi="Times New Roman" w:eastAsia="楷体_GB2312"/>
      <w:b/>
      <w:sz w:val="28"/>
      <w:szCs w:val="20"/>
    </w:rPr>
  </w:style>
  <w:style w:type="character" w:styleId="802" w:customStyle="1">
    <w:name w:val="正文文本缩进 2 Char1"/>
    <w:basedOn w:val="772"/>
    <w:link w:val="801"/>
    <w:uiPriority w:val="99"/>
    <w:qFormat/>
    <w:rPr>
      <w:rFonts w:ascii="楷体_GB2312" w:hAnsi="Times New Roman" w:eastAsia="楷体_GB2312" w:cs="Times New Roman"/>
      <w:b/>
      <w:sz w:val="28"/>
      <w:szCs w:val="20"/>
    </w:rPr>
  </w:style>
  <w:style w:type="paragraph" w:styleId="803" w:customStyle="1">
    <w:name w:val="尾注文本1"/>
    <w:basedOn w:val="712"/>
    <w:link w:val="804"/>
    <w:uiPriority w:val="99"/>
    <w:unhideWhenUsed/>
    <w:qFormat/>
    <w:rPr>
      <w:rFonts w:ascii="Times New Roman" w:hAnsi="Times New Roman" w:eastAsia="宋体"/>
      <w:sz w:val="20"/>
      <w:szCs w:val="21"/>
    </w:rPr>
  </w:style>
  <w:style w:type="character" w:styleId="804" w:customStyle="1">
    <w:name w:val="尾注文本 Char"/>
    <w:basedOn w:val="772"/>
    <w:link w:val="803"/>
    <w:uiPriority w:val="99"/>
    <w:qFormat/>
    <w:rPr>
      <w:rFonts w:ascii="Times New Roman" w:hAnsi="Times New Roman" w:eastAsia="宋体" w:cs="Times New Roman"/>
      <w:szCs w:val="21"/>
    </w:rPr>
  </w:style>
  <w:style w:type="paragraph" w:styleId="805" w:customStyle="1">
    <w:name w:val="批注框文本11"/>
    <w:basedOn w:val="712"/>
    <w:link w:val="806"/>
    <w:uiPriority w:val="99"/>
    <w:unhideWhenUsed/>
    <w:qFormat/>
    <w:rPr>
      <w:rFonts w:ascii="Times New Roman" w:hAnsi="Times New Roman" w:eastAsia="宋体"/>
      <w:sz w:val="18"/>
      <w:szCs w:val="18"/>
    </w:rPr>
  </w:style>
  <w:style w:type="character" w:styleId="806" w:customStyle="1">
    <w:name w:val="批注框文本 Char1"/>
    <w:basedOn w:val="772"/>
    <w:link w:val="805"/>
    <w:uiPriority w:val="99"/>
    <w:semiHidden/>
    <w:qFormat/>
    <w:rPr>
      <w:rFonts w:ascii="Times New Roman" w:hAnsi="Times New Roman" w:eastAsia="宋体" w:cs="Times New Roman"/>
      <w:sz w:val="18"/>
      <w:szCs w:val="18"/>
    </w:rPr>
  </w:style>
  <w:style w:type="paragraph" w:styleId="807" w:customStyle="1">
    <w:name w:val="页脚11"/>
    <w:basedOn w:val="712"/>
    <w:next w:val="808"/>
    <w:link w:val="809"/>
    <w:uiPriority w:val="99"/>
    <w:qFormat/>
    <w:pPr>
      <w:jc w:val="left"/>
      <w:tabs>
        <w:tab w:val="center" w:pos="4153" w:leader="none"/>
        <w:tab w:val="right" w:pos="8306" w:leader="none"/>
      </w:tabs>
    </w:pPr>
    <w:rPr>
      <w:rFonts w:ascii="Times New Roman" w:hAnsi="Times New Roman" w:eastAsia="宋体"/>
      <w:sz w:val="18"/>
      <w:szCs w:val="20"/>
    </w:rPr>
  </w:style>
  <w:style w:type="paragraph" w:styleId="808" w:customStyle="1">
    <w:name w:val="明显引用1"/>
    <w:next w:val="712"/>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809" w:customStyle="1">
    <w:name w:val="页脚 Char1"/>
    <w:basedOn w:val="772"/>
    <w:link w:val="807"/>
    <w:uiPriority w:val="99"/>
    <w:qFormat/>
    <w:rPr>
      <w:rFonts w:ascii="Times New Roman" w:hAnsi="Times New Roman" w:eastAsia="宋体" w:cs="Times New Roman"/>
      <w:sz w:val="18"/>
      <w:szCs w:val="20"/>
    </w:rPr>
  </w:style>
  <w:style w:type="paragraph" w:styleId="810" w:customStyle="1">
    <w:name w:val="页眉11"/>
    <w:basedOn w:val="712"/>
    <w:link w:val="811"/>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11" w:customStyle="1">
    <w:name w:val="页眉 Char1"/>
    <w:basedOn w:val="772"/>
    <w:link w:val="810"/>
    <w:uiPriority w:val="99"/>
    <w:qFormat/>
    <w:rPr>
      <w:rFonts w:ascii="Times New Roman" w:hAnsi="Times New Roman" w:eastAsia="宋体" w:cs="Times New Roman"/>
      <w:sz w:val="18"/>
      <w:szCs w:val="20"/>
    </w:rPr>
  </w:style>
  <w:style w:type="paragraph" w:styleId="812" w:customStyle="1">
    <w:name w:val="目录 1112"/>
    <w:basedOn w:val="712"/>
    <w:next w:val="712"/>
    <w:uiPriority w:val="39"/>
    <w:unhideWhenUsed/>
    <w:qFormat/>
    <w:pPr>
      <w:spacing w:after="57"/>
    </w:pPr>
    <w:rPr>
      <w:rFonts w:ascii="Times New Roman" w:hAnsi="Times New Roman" w:eastAsia="宋体"/>
      <w:szCs w:val="21"/>
    </w:rPr>
  </w:style>
  <w:style w:type="paragraph" w:styleId="813" w:customStyle="1">
    <w:name w:val="目录 4111"/>
    <w:basedOn w:val="712"/>
    <w:next w:val="712"/>
    <w:uiPriority w:val="39"/>
    <w:unhideWhenUsed/>
    <w:qFormat/>
    <w:pPr>
      <w:ind w:left="850"/>
      <w:spacing w:after="57"/>
    </w:pPr>
    <w:rPr>
      <w:rFonts w:ascii="Times New Roman" w:hAnsi="Times New Roman" w:eastAsia="宋体"/>
      <w:szCs w:val="21"/>
    </w:rPr>
  </w:style>
  <w:style w:type="paragraph" w:styleId="814" w:customStyle="1">
    <w:name w:val="副标题1"/>
    <w:basedOn w:val="712"/>
    <w:next w:val="712"/>
    <w:link w:val="815"/>
    <w:uiPriority w:val="11"/>
    <w:qFormat/>
    <w:pPr>
      <w:ind w:firstLine="471"/>
      <w:jc w:val="center"/>
      <w:spacing w:before="240" w:after="60" w:line="312" w:lineRule="atLeast"/>
      <w:outlineLvl w:val="1"/>
    </w:pPr>
    <w:rPr>
      <w:rFonts w:ascii="Arial" w:hAnsi="Arial"/>
      <w:b/>
      <w:bCs/>
      <w:sz w:val="32"/>
      <w:szCs w:val="32"/>
    </w:rPr>
  </w:style>
  <w:style w:type="character" w:styleId="815" w:customStyle="1">
    <w:name w:val="副标题 Char"/>
    <w:link w:val="814"/>
    <w:uiPriority w:val="11"/>
    <w:qFormat/>
    <w:rPr>
      <w:rFonts w:ascii="Arial" w:hAnsi="Arial"/>
      <w:b/>
      <w:bCs/>
      <w:sz w:val="32"/>
      <w:szCs w:val="32"/>
    </w:rPr>
  </w:style>
  <w:style w:type="paragraph" w:styleId="816" w:customStyle="1">
    <w:name w:val="列表11"/>
    <w:basedOn w:val="712"/>
    <w:uiPriority w:val="0"/>
    <w:qFormat/>
    <w:pPr>
      <w:ind w:firstLine="480"/>
      <w:spacing w:after="20" w:line="360" w:lineRule="auto"/>
      <w:tabs>
        <w:tab w:val="left" w:pos="420" w:leader="none"/>
      </w:tabs>
    </w:pPr>
    <w:rPr>
      <w:rFonts w:ascii="宋体" w:hAnsi="宋体" w:eastAsia="宋体" w:cs="宋体"/>
      <w:sz w:val="24"/>
      <w:szCs w:val="24"/>
    </w:rPr>
  </w:style>
  <w:style w:type="paragraph" w:styleId="817" w:customStyle="1">
    <w:name w:val="脚注文本1"/>
    <w:basedOn w:val="712"/>
    <w:link w:val="818"/>
    <w:uiPriority w:val="99"/>
    <w:unhideWhenUsed/>
    <w:qFormat/>
    <w:pPr>
      <w:spacing w:after="40"/>
    </w:pPr>
    <w:rPr>
      <w:rFonts w:ascii="Times New Roman" w:hAnsi="Times New Roman" w:eastAsia="宋体"/>
      <w:sz w:val="18"/>
      <w:szCs w:val="21"/>
    </w:rPr>
  </w:style>
  <w:style w:type="character" w:styleId="818" w:customStyle="1">
    <w:name w:val="脚注文本 Char"/>
    <w:basedOn w:val="772"/>
    <w:link w:val="817"/>
    <w:uiPriority w:val="99"/>
    <w:qFormat/>
    <w:rPr>
      <w:rFonts w:ascii="Times New Roman" w:hAnsi="Times New Roman" w:eastAsia="宋体" w:cs="Times New Roman"/>
      <w:sz w:val="18"/>
      <w:szCs w:val="21"/>
    </w:rPr>
  </w:style>
  <w:style w:type="paragraph" w:styleId="819" w:customStyle="1">
    <w:name w:val="目录 6111"/>
    <w:basedOn w:val="712"/>
    <w:next w:val="712"/>
    <w:uiPriority w:val="39"/>
    <w:unhideWhenUsed/>
    <w:qFormat/>
    <w:pPr>
      <w:ind w:left="1417"/>
      <w:spacing w:after="57"/>
    </w:pPr>
    <w:rPr>
      <w:rFonts w:ascii="Times New Roman" w:hAnsi="Times New Roman" w:eastAsia="宋体"/>
      <w:szCs w:val="21"/>
    </w:rPr>
  </w:style>
  <w:style w:type="paragraph" w:styleId="820" w:customStyle="1">
    <w:name w:val="正文文本缩进 311"/>
    <w:basedOn w:val="712"/>
    <w:link w:val="821"/>
    <w:uiPriority w:val="99"/>
    <w:qFormat/>
    <w:pPr>
      <w:ind w:left="359" w:firstLine="359"/>
    </w:pPr>
    <w:rPr>
      <w:rFonts w:ascii="Times New Roman" w:hAnsi="Times New Roman" w:eastAsia="宋体"/>
      <w:sz w:val="20"/>
      <w:szCs w:val="20"/>
    </w:rPr>
  </w:style>
  <w:style w:type="character" w:styleId="821" w:customStyle="1">
    <w:name w:val="正文文本缩进 3 Char1"/>
    <w:basedOn w:val="772"/>
    <w:link w:val="820"/>
    <w:uiPriority w:val="99"/>
    <w:qFormat/>
    <w:rPr>
      <w:rFonts w:ascii="Times New Roman" w:hAnsi="Times New Roman" w:eastAsia="宋体" w:cs="Times New Roman"/>
      <w:sz w:val="20"/>
      <w:szCs w:val="20"/>
    </w:rPr>
  </w:style>
  <w:style w:type="paragraph" w:styleId="822" w:customStyle="1">
    <w:name w:val="图表目录11"/>
    <w:basedOn w:val="712"/>
    <w:next w:val="712"/>
    <w:uiPriority w:val="99"/>
    <w:unhideWhenUsed/>
    <w:qFormat/>
    <w:rPr>
      <w:rFonts w:ascii="Times New Roman" w:hAnsi="Times New Roman" w:eastAsia="宋体"/>
      <w:szCs w:val="21"/>
    </w:rPr>
  </w:style>
  <w:style w:type="paragraph" w:styleId="823" w:customStyle="1">
    <w:name w:val="目录 2111"/>
    <w:basedOn w:val="712"/>
    <w:next w:val="712"/>
    <w:uiPriority w:val="39"/>
    <w:unhideWhenUsed/>
    <w:qFormat/>
    <w:pPr>
      <w:ind w:left="283"/>
      <w:spacing w:after="57"/>
    </w:pPr>
    <w:rPr>
      <w:rFonts w:ascii="Times New Roman" w:hAnsi="Times New Roman" w:eastAsia="宋体"/>
      <w:szCs w:val="21"/>
    </w:rPr>
  </w:style>
  <w:style w:type="paragraph" w:styleId="824" w:customStyle="1">
    <w:name w:val="目录 9111"/>
    <w:basedOn w:val="712"/>
    <w:next w:val="712"/>
    <w:uiPriority w:val="39"/>
    <w:unhideWhenUsed/>
    <w:qFormat/>
    <w:pPr>
      <w:ind w:left="2268"/>
      <w:spacing w:after="57"/>
    </w:pPr>
    <w:rPr>
      <w:rFonts w:ascii="Times New Roman" w:hAnsi="Times New Roman" w:eastAsia="宋体"/>
      <w:szCs w:val="21"/>
    </w:rPr>
  </w:style>
  <w:style w:type="paragraph" w:styleId="825" w:customStyle="1">
    <w:name w:val="正文文本 211"/>
    <w:basedOn w:val="712"/>
    <w:link w:val="826"/>
    <w:uiPriority w:val="99"/>
    <w:qFormat/>
    <w:pPr>
      <w:spacing w:after="120" w:line="480" w:lineRule="auto"/>
    </w:pPr>
    <w:rPr>
      <w:rFonts w:ascii="Times New Roman" w:hAnsi="Times New Roman" w:eastAsia="宋体"/>
      <w:sz w:val="20"/>
      <w:szCs w:val="20"/>
    </w:rPr>
  </w:style>
  <w:style w:type="character" w:styleId="826" w:customStyle="1">
    <w:name w:val="正文文本 2 Char1"/>
    <w:basedOn w:val="772"/>
    <w:link w:val="825"/>
    <w:uiPriority w:val="99"/>
    <w:qFormat/>
    <w:rPr>
      <w:rFonts w:ascii="Times New Roman" w:hAnsi="Times New Roman" w:eastAsia="宋体" w:cs="Times New Roman"/>
      <w:sz w:val="20"/>
      <w:szCs w:val="20"/>
    </w:rPr>
  </w:style>
  <w:style w:type="paragraph" w:styleId="827" w:customStyle="1">
    <w:name w:val="普通(网站)11"/>
    <w:basedOn w:val="71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28" w:customStyle="1">
    <w:name w:val="标题11"/>
    <w:basedOn w:val="712"/>
    <w:next w:val="712"/>
    <w:link w:val="829"/>
    <w:uiPriority w:val="10"/>
    <w:qFormat/>
    <w:pPr>
      <w:contextualSpacing/>
      <w:spacing w:before="300" w:after="200"/>
    </w:pPr>
    <w:rPr>
      <w:rFonts w:ascii="Times New Roman" w:hAnsi="Times New Roman" w:eastAsia="宋体"/>
      <w:sz w:val="48"/>
      <w:szCs w:val="48"/>
    </w:rPr>
  </w:style>
  <w:style w:type="character" w:styleId="829" w:customStyle="1">
    <w:name w:val="标题 Char"/>
    <w:basedOn w:val="772"/>
    <w:link w:val="828"/>
    <w:uiPriority w:val="10"/>
    <w:qFormat/>
    <w:rPr>
      <w:rFonts w:ascii="Times New Roman" w:hAnsi="Times New Roman" w:eastAsia="宋体" w:cs="Times New Roman"/>
      <w:sz w:val="48"/>
      <w:szCs w:val="48"/>
    </w:rPr>
  </w:style>
  <w:style w:type="paragraph" w:styleId="830" w:customStyle="1">
    <w:name w:val="批注主题11"/>
    <w:basedOn w:val="789"/>
    <w:next w:val="789"/>
    <w:link w:val="831"/>
    <w:uiPriority w:val="99"/>
    <w:unhideWhenUsed/>
    <w:qFormat/>
    <w:rPr>
      <w:b/>
      <w:bCs/>
    </w:rPr>
  </w:style>
  <w:style w:type="character" w:styleId="831" w:customStyle="1">
    <w:name w:val="批注主题 Char1"/>
    <w:basedOn w:val="790"/>
    <w:link w:val="830"/>
    <w:uiPriority w:val="99"/>
    <w:semiHidden/>
    <w:qFormat/>
    <w:rPr>
      <w:b/>
      <w:bCs/>
    </w:rPr>
  </w:style>
  <w:style w:type="paragraph" w:styleId="832" w:customStyle="1">
    <w:name w:val="正文首行缩进11"/>
    <w:basedOn w:val="791"/>
    <w:uiPriority w:val="99"/>
    <w:unhideWhenUsed/>
    <w:qFormat/>
    <w:pPr>
      <w:ind w:firstLine="420"/>
      <w:spacing w:after="120"/>
    </w:pPr>
    <w:rPr>
      <w:rFonts w:ascii="Calibri" w:hAnsi="Calibri" w:eastAsia="宋体"/>
      <w:sz w:val="21"/>
      <w:szCs w:val="22"/>
    </w:rPr>
  </w:style>
  <w:style w:type="paragraph" w:styleId="833" w:customStyle="1">
    <w:name w:val="正文首行缩进 211"/>
    <w:basedOn w:val="793"/>
    <w:next w:val="712"/>
    <w:link w:val="834"/>
    <w:uiPriority w:val="99"/>
    <w:unhideWhenUsed/>
    <w:qFormat/>
    <w:pPr>
      <w:ind w:left="420" w:firstLine="420"/>
      <w:spacing w:after="120"/>
    </w:pPr>
    <w:rPr>
      <w:rFonts w:ascii="Calibri" w:hAnsi="Calibri" w:eastAsia="Arial"/>
      <w:b w:val="0"/>
      <w:sz w:val="21"/>
      <w:szCs w:val="22"/>
    </w:rPr>
  </w:style>
  <w:style w:type="character" w:styleId="834" w:customStyle="1">
    <w:name w:val="正文首行缩进 2 Char1"/>
    <w:basedOn w:val="794"/>
    <w:link w:val="833"/>
    <w:uiPriority w:val="99"/>
    <w:semiHidden/>
    <w:qFormat/>
    <w:rPr>
      <w:rFonts w:ascii="Times New Roman" w:hAnsi="Times New Roman" w:eastAsia="宋体" w:cs="Times New Roman"/>
      <w:b w:val="0"/>
      <w:sz w:val="21"/>
      <w:szCs w:val="22"/>
    </w:rPr>
  </w:style>
  <w:style w:type="table" w:styleId="835" w:customStyle="1">
    <w:name w:val="网格型11"/>
    <w:basedOn w:val="773"/>
    <w:uiPriority w:val="59"/>
    <w:qFormat/>
    <w:rPr>
      <w:rFonts w:eastAsia="Times New Roman"/>
    </w:rPr>
    <w:tblPr/>
  </w:style>
  <w:style w:type="character" w:styleId="836" w:customStyle="1">
    <w:name w:val="要点11"/>
    <w:uiPriority w:val="99"/>
    <w:qFormat/>
    <w:rPr>
      <w:rFonts w:cs="Times New Roman"/>
      <w:b/>
      <w:bCs/>
    </w:rPr>
  </w:style>
  <w:style w:type="character" w:styleId="837" w:customStyle="1">
    <w:name w:val="尾注引用1"/>
    <w:uiPriority w:val="99"/>
    <w:unhideWhenUsed/>
    <w:qFormat/>
    <w:rPr>
      <w:vertAlign w:val="superscript"/>
    </w:rPr>
  </w:style>
  <w:style w:type="character" w:styleId="838" w:customStyle="1">
    <w:name w:val="页码11"/>
    <w:uiPriority w:val="99"/>
    <w:qFormat/>
    <w:rPr>
      <w:rFonts w:cs="Times New Roman"/>
    </w:rPr>
  </w:style>
  <w:style w:type="character" w:styleId="839" w:customStyle="1">
    <w:name w:val="已访问的超链接11"/>
    <w:uiPriority w:val="99"/>
    <w:unhideWhenUsed/>
    <w:qFormat/>
    <w:rPr>
      <w:color w:val="800080"/>
      <w:u w:val="single"/>
    </w:rPr>
  </w:style>
  <w:style w:type="character" w:styleId="840" w:customStyle="1">
    <w:name w:val="HTML 打字机11"/>
    <w:uiPriority w:val="99"/>
    <w:qFormat/>
    <w:rPr>
      <w:rFonts w:ascii="宋体" w:hAnsi="宋体" w:eastAsia="宋体" w:cs="宋体"/>
      <w:sz w:val="24"/>
      <w:szCs w:val="24"/>
    </w:rPr>
  </w:style>
  <w:style w:type="character" w:styleId="841" w:customStyle="1">
    <w:name w:val="超链接11"/>
    <w:uiPriority w:val="99"/>
    <w:qFormat/>
    <w:rPr>
      <w:rFonts w:cs="Times New Roman"/>
      <w:color w:val="000000"/>
      <w:u w:val="none"/>
    </w:rPr>
  </w:style>
  <w:style w:type="character" w:styleId="842" w:customStyle="1">
    <w:name w:val="批注引用11"/>
    <w:basedOn w:val="772"/>
    <w:uiPriority w:val="0"/>
    <w:unhideWhenUsed/>
    <w:qFormat/>
    <w:rPr>
      <w:sz w:val="21"/>
      <w:szCs w:val="21"/>
    </w:rPr>
  </w:style>
  <w:style w:type="character" w:styleId="843" w:customStyle="1">
    <w:name w:val="脚注引用1"/>
    <w:uiPriority w:val="99"/>
    <w:unhideWhenUsed/>
    <w:qFormat/>
    <w:rPr>
      <w:vertAlign w:val="superscript"/>
    </w:rPr>
  </w:style>
  <w:style w:type="character" w:styleId="844" w:customStyle="1">
    <w:name w:val="批注引用1"/>
    <w:uiPriority w:val="0"/>
    <w:semiHidden/>
    <w:qFormat/>
    <w:rPr>
      <w:rFonts w:ascii="Calibri" w:hAnsi="Calibri" w:eastAsia="Arial" w:cs="Times New Roman"/>
      <w:sz w:val="21"/>
      <w:szCs w:val="22"/>
    </w:rPr>
  </w:style>
  <w:style w:type="paragraph" w:styleId="845" w:customStyle="1">
    <w:name w:val="段"/>
    <w:next w:val="712"/>
    <w:uiPriority w:val="0"/>
    <w:qFormat/>
    <w:pPr>
      <w:ind w:firstLine="200"/>
      <w:jc w:val="both"/>
    </w:pPr>
    <w:rPr>
      <w:rFonts w:ascii="宋体" w:hAnsi="Times New Roman" w:eastAsia="宋体" w:cs="Times New Roman"/>
      <w:sz w:val="21"/>
      <w:lang w:val="en-US" w:eastAsia="zh-CN" w:bidi="ar-SA"/>
    </w:rPr>
  </w:style>
  <w:style w:type="paragraph" w:styleId="846" w:customStyle="1">
    <w:name w:val="TOC 标题111"/>
    <w:uiPriority w:val="39"/>
    <w:unhideWhenUsed/>
    <w:qFormat/>
    <w:rPr>
      <w:rFonts w:ascii="Calibri" w:hAnsi="Calibri" w:eastAsia="Arial" w:cs="Times New Roman"/>
      <w:lang w:val="en-US" w:eastAsia="zh-CN" w:bidi="ar-SA"/>
    </w:rPr>
  </w:style>
  <w:style w:type="paragraph" w:styleId="847" w:customStyle="1">
    <w:name w:val="font5"/>
    <w:basedOn w:val="712"/>
    <w:uiPriority w:val="0"/>
    <w:qFormat/>
    <w:pPr>
      <w:jc w:val="left"/>
      <w:spacing w:before="100" w:beforeAutospacing="1" w:after="100" w:afterAutospacing="1"/>
      <w:widowControl/>
    </w:pPr>
    <w:rPr>
      <w:rFonts w:ascii="宋体" w:hAnsi="宋体" w:eastAsia="宋体"/>
      <w:sz w:val="18"/>
      <w:szCs w:val="18"/>
    </w:rPr>
  </w:style>
  <w:style w:type="paragraph" w:styleId="848" w:customStyle="1">
    <w:name w:val="font6"/>
    <w:basedOn w:val="712"/>
    <w:uiPriority w:val="0"/>
    <w:qFormat/>
    <w:pPr>
      <w:jc w:val="left"/>
      <w:spacing w:before="100" w:beforeAutospacing="1" w:after="100" w:afterAutospacing="1"/>
      <w:widowControl/>
    </w:pPr>
    <w:rPr>
      <w:rFonts w:ascii="宋体" w:hAnsi="宋体" w:eastAsia="宋体"/>
      <w:b/>
      <w:bCs/>
      <w:sz w:val="20"/>
      <w:szCs w:val="20"/>
    </w:rPr>
  </w:style>
  <w:style w:type="paragraph" w:styleId="849" w:customStyle="1">
    <w:name w:val="font7"/>
    <w:basedOn w:val="712"/>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50" w:customStyle="1">
    <w:name w:val="font8"/>
    <w:basedOn w:val="712"/>
    <w:uiPriority w:val="99"/>
    <w:qFormat/>
    <w:pPr>
      <w:jc w:val="left"/>
      <w:spacing w:before="100" w:beforeAutospacing="1" w:after="100" w:afterAutospacing="1"/>
      <w:widowControl/>
    </w:pPr>
    <w:rPr>
      <w:rFonts w:ascii="宋体" w:hAnsi="宋体" w:eastAsia="宋体"/>
      <w:b/>
      <w:bCs/>
      <w:i/>
      <w:iCs/>
      <w:sz w:val="20"/>
      <w:szCs w:val="20"/>
    </w:rPr>
  </w:style>
  <w:style w:type="paragraph" w:styleId="851" w:customStyle="1">
    <w:name w:val="font9"/>
    <w:basedOn w:val="712"/>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52" w:customStyle="1">
    <w:name w:val="xl2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3" w:customStyle="1">
    <w:name w:val="xl25"/>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4" w:customStyle="1">
    <w:name w:val="xl26"/>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5" w:customStyle="1">
    <w:name w:val="xl27"/>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6"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7" w:customStyle="1">
    <w:name w:val="xl29"/>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8" w:customStyle="1">
    <w:name w:val="xl30"/>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9" w:customStyle="1">
    <w:name w:val="xl31"/>
    <w:basedOn w:val="71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60" w:customStyle="1">
    <w:name w:val="xl32"/>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61" w:customStyle="1">
    <w:name w:val="xl33"/>
    <w:basedOn w:val="71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2" w:customStyle="1">
    <w:name w:val="xl34"/>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63" w:customStyle="1">
    <w:name w:val="xl35"/>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64" w:customStyle="1">
    <w:name w:val="xl36"/>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5" w:customStyle="1">
    <w:name w:val="xl37"/>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66" w:customStyle="1">
    <w:name w:val="xl38"/>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7" w:customStyle="1">
    <w:name w:val="xl39"/>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68" w:customStyle="1">
    <w:name w:val="xl40"/>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69" w:customStyle="1">
    <w:name w:val="xl41"/>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0" w:customStyle="1">
    <w:name w:val="xl42"/>
    <w:basedOn w:val="71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1" w:customStyle="1">
    <w:name w:val="xl43"/>
    <w:basedOn w:val="71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72" w:customStyle="1">
    <w:name w:val="xl44"/>
    <w:basedOn w:val="71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73" w:customStyle="1">
    <w:name w:val="xl45"/>
    <w:basedOn w:val="71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74" w:customStyle="1">
    <w:name w:val="xl46"/>
    <w:basedOn w:val="71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875" w:customStyle="1">
    <w:name w:val="xl47"/>
    <w:basedOn w:val="71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876" w:customStyle="1">
    <w:name w:val="xl48"/>
    <w:basedOn w:val="71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877" w:customStyle="1">
    <w:name w:val="xl49"/>
    <w:basedOn w:val="71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878" w:customStyle="1">
    <w:name w:val="xl50"/>
    <w:basedOn w:val="71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9" w:customStyle="1">
    <w:name w:val="xl51"/>
    <w:basedOn w:val="71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80" w:customStyle="1">
    <w:name w:val="xl52"/>
    <w:basedOn w:val="71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81" w:customStyle="1">
    <w:name w:val="xl53"/>
    <w:basedOn w:val="71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2" w:customStyle="1">
    <w:name w:val="xl54"/>
    <w:basedOn w:val="71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883" w:customStyle="1">
    <w:name w:val="xl55"/>
    <w:basedOn w:val="71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884" w:customStyle="1">
    <w:name w:val="xl56"/>
    <w:basedOn w:val="71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85" w:customStyle="1">
    <w:name w:val="xl57"/>
    <w:basedOn w:val="71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886" w:customStyle="1">
    <w:name w:val="xl58"/>
    <w:basedOn w:val="71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887" w:customStyle="1">
    <w:name w:val="xl59"/>
    <w:basedOn w:val="71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8" w:customStyle="1">
    <w:name w:val="xl60"/>
    <w:basedOn w:val="71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89" w:customStyle="1">
    <w:name w:val="xl61"/>
    <w:basedOn w:val="71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90" w:customStyle="1">
    <w:name w:val="xl62"/>
    <w:basedOn w:val="71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91" w:customStyle="1">
    <w:name w:val="xl63"/>
    <w:basedOn w:val="71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892" w:customStyle="1">
    <w:name w:val="font10"/>
    <w:basedOn w:val="712"/>
    <w:uiPriority w:val="99"/>
    <w:qFormat/>
    <w:pPr>
      <w:jc w:val="left"/>
      <w:spacing w:before="100" w:beforeAutospacing="1" w:after="100" w:afterAutospacing="1"/>
      <w:widowControl/>
    </w:pPr>
    <w:rPr>
      <w:rFonts w:ascii="楷体_GB2312" w:hAnsi="宋体" w:eastAsia="楷体_GB2312"/>
      <w:b/>
      <w:bCs/>
      <w:sz w:val="18"/>
      <w:szCs w:val="18"/>
    </w:rPr>
  </w:style>
  <w:style w:type="paragraph" w:styleId="893" w:customStyle="1">
    <w:name w:val="font11"/>
    <w:basedOn w:val="712"/>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894" w:customStyle="1">
    <w:name w:val="font12"/>
    <w:basedOn w:val="712"/>
    <w:uiPriority w:val="99"/>
    <w:qFormat/>
    <w:pPr>
      <w:jc w:val="left"/>
      <w:spacing w:before="100" w:beforeAutospacing="1" w:after="100" w:afterAutospacing="1"/>
      <w:widowControl/>
    </w:pPr>
    <w:rPr>
      <w:rFonts w:ascii="宋体" w:hAnsi="宋体" w:eastAsia="宋体"/>
      <w:sz w:val="36"/>
      <w:szCs w:val="36"/>
    </w:rPr>
  </w:style>
  <w:style w:type="paragraph" w:styleId="895" w:customStyle="1">
    <w:name w:val="font13"/>
    <w:basedOn w:val="712"/>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896" w:customStyle="1">
    <w:name w:val="font14"/>
    <w:basedOn w:val="712"/>
    <w:uiPriority w:val="99"/>
    <w:qFormat/>
    <w:pPr>
      <w:jc w:val="left"/>
      <w:spacing w:before="100" w:beforeAutospacing="1" w:after="100" w:afterAutospacing="1"/>
      <w:widowControl/>
    </w:pPr>
    <w:rPr>
      <w:rFonts w:ascii="Times New Roman" w:hAnsi="Times New Roman" w:eastAsia="宋体"/>
      <w:sz w:val="36"/>
      <w:szCs w:val="36"/>
    </w:rPr>
  </w:style>
  <w:style w:type="character" w:styleId="897" w:customStyle="1">
    <w:name w:val="case31"/>
    <w:uiPriority w:val="99"/>
    <w:qFormat/>
    <w:rPr>
      <w:rFonts w:cs="Times New Roman"/>
      <w:spacing w:val="390"/>
      <w:sz w:val="21"/>
      <w:szCs w:val="21"/>
    </w:rPr>
  </w:style>
  <w:style w:type="paragraph" w:styleId="898" w:customStyle="1">
    <w:name w:val="普通文字"/>
    <w:basedOn w:val="712"/>
    <w:next w:val="712"/>
    <w:uiPriority w:val="99"/>
    <w:qFormat/>
    <w:rPr>
      <w:rFonts w:ascii="宋体" w:hAnsi="Times New Roman" w:eastAsia="宋体"/>
      <w:sz w:val="24"/>
      <w:szCs w:val="20"/>
    </w:rPr>
  </w:style>
  <w:style w:type="paragraph" w:styleId="899" w:customStyle="1">
    <w:name w:val="默认段落字体 Para Char"/>
    <w:basedOn w:val="712"/>
    <w:uiPriority w:val="99"/>
    <w:qFormat/>
    <w:pPr>
      <w:ind w:left="552" w:hanging="420"/>
      <w:tabs>
        <w:tab w:val="left" w:pos="552" w:leader="none"/>
      </w:tabs>
    </w:pPr>
    <w:rPr>
      <w:rFonts w:ascii="Times New Roman" w:hAnsi="Times New Roman" w:eastAsia="宋体"/>
      <w:sz w:val="24"/>
      <w:szCs w:val="24"/>
    </w:rPr>
  </w:style>
  <w:style w:type="paragraph" w:styleId="900" w:customStyle="1">
    <w:name w:val="Char Char Char Char"/>
    <w:basedOn w:val="787"/>
    <w:uiPriority w:val="0"/>
    <w:qFormat/>
    <w:pPr>
      <w:spacing w:line="360" w:lineRule="auto"/>
    </w:pPr>
    <w:rPr>
      <w:rFonts w:ascii="Tahoma" w:hAnsi="Tahoma"/>
      <w:sz w:val="24"/>
      <w:szCs w:val="24"/>
    </w:rPr>
  </w:style>
  <w:style w:type="paragraph" w:styleId="901" w:customStyle="1">
    <w:name w:val="Char Char1 Char Char Char Char"/>
    <w:basedOn w:val="787"/>
    <w:uiPriority w:val="99"/>
    <w:qFormat/>
    <w:pPr>
      <w:ind w:left="357"/>
      <w:jc w:val="left"/>
      <w:spacing w:line="436" w:lineRule="exact"/>
      <w:outlineLvl w:val="3"/>
    </w:pPr>
    <w:rPr>
      <w:rFonts w:ascii="Tahoma" w:hAnsi="Tahoma"/>
      <w:b/>
      <w:sz w:val="24"/>
      <w:szCs w:val="24"/>
    </w:rPr>
  </w:style>
  <w:style w:type="paragraph" w:styleId="902">
    <w:name w:val="List Paragraph"/>
    <w:basedOn w:val="712"/>
    <w:uiPriority w:val="34"/>
    <w:qFormat/>
    <w:pPr>
      <w:numPr>
        <w:ilvl w:val="0"/>
        <w:numId w:val="2"/>
      </w:numPr>
      <w:spacing w:line="360" w:lineRule="auto"/>
    </w:pPr>
    <w:rPr>
      <w:rFonts w:ascii="Arial" w:hAnsi="Arial" w:eastAsia="宋体" w:cs="宋体"/>
      <w:b/>
      <w:sz w:val="24"/>
      <w:szCs w:val="20"/>
    </w:rPr>
  </w:style>
  <w:style w:type="paragraph" w:styleId="903" w:customStyle="1">
    <w:name w:val="修订1"/>
    <w:uiPriority w:val="99"/>
    <w:semiHidden/>
    <w:qFormat/>
    <w:rPr>
      <w:rFonts w:ascii="Times New Roman" w:hAnsi="Times New Roman" w:eastAsia="宋体" w:cs="Times New Roman"/>
      <w:sz w:val="21"/>
      <w:lang w:val="en-US" w:eastAsia="zh-CN" w:bidi="ar-SA"/>
    </w:rPr>
  </w:style>
  <w:style w:type="paragraph" w:styleId="904" w:customStyle="1">
    <w:name w:val="列表段落1"/>
    <w:basedOn w:val="712"/>
    <w:uiPriority w:val="34"/>
    <w:qFormat/>
    <w:pPr>
      <w:ind w:firstLine="420"/>
    </w:pPr>
  </w:style>
  <w:style w:type="paragraph" w:styleId="905" w:customStyle="1">
    <w:name w:val="样式 小四 段前: 5 磅 段后: 5 磅 首行缩进:  2 字符"/>
    <w:basedOn w:val="712"/>
    <w:uiPriority w:val="0"/>
    <w:qFormat/>
    <w:pPr>
      <w:spacing w:line="360" w:lineRule="auto"/>
    </w:pPr>
    <w:rPr>
      <w:rFonts w:ascii="宋体" w:hAnsi="宋体"/>
      <w:szCs w:val="21"/>
    </w:rPr>
  </w:style>
  <w:style w:type="table" w:styleId="906" w:customStyle="1">
    <w:name w:val="网格型1"/>
    <w:basedOn w:val="773"/>
    <w:uiPriority w:val="59"/>
    <w:qFormat/>
    <w:tblPr/>
  </w:style>
  <w:style w:type="table" w:styleId="907" w:customStyle="1">
    <w:name w:val="网格型2"/>
    <w:basedOn w:val="773"/>
    <w:uiPriority w:val="39"/>
    <w:qFormat/>
    <w:tblPr/>
  </w:style>
  <w:style w:type="table" w:styleId="908" w:customStyle="1">
    <w:name w:val="网格型3"/>
    <w:basedOn w:val="773"/>
    <w:uiPriority w:val="39"/>
    <w:qFormat/>
    <w:tblPr/>
  </w:style>
  <w:style w:type="table" w:styleId="909" w:customStyle="1">
    <w:name w:val="网格型4"/>
    <w:basedOn w:val="773"/>
    <w:uiPriority w:val="39"/>
    <w:qFormat/>
    <w:tblPr/>
  </w:style>
  <w:style w:type="paragraph" w:styleId="910" w:customStyle="1">
    <w:name w:val="List Paragraph1"/>
    <w:basedOn w:val="712"/>
    <w:uiPriority w:val="0"/>
    <w:qFormat/>
    <w:pPr>
      <w:ind w:firstLine="420"/>
    </w:pPr>
    <w:rPr>
      <w:szCs w:val="21"/>
    </w:rPr>
  </w:style>
  <w:style w:type="paragraph" w:styleId="911" w:customStyle="1">
    <w:name w:val="标题 31"/>
    <w:basedOn w:val="712"/>
    <w:next w:val="712"/>
    <w:link w:val="912"/>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12" w:customStyle="1">
    <w:name w:val="标题 3 Char"/>
    <w:link w:val="911"/>
    <w:uiPriority w:val="0"/>
    <w:qFormat/>
    <w:rPr>
      <w:rFonts w:ascii="Times New Roman" w:hAnsi="Times New Roman" w:eastAsia="宋体" w:cs="Times New Roman"/>
      <w:b/>
      <w:bCs/>
      <w:sz w:val="32"/>
      <w:szCs w:val="32"/>
      <w:lang w:eastAsia="en-US"/>
    </w:rPr>
  </w:style>
  <w:style w:type="character" w:styleId="913" w:customStyle="1">
    <w:name w:val="Heading 1 Char"/>
    <w:uiPriority w:val="9"/>
    <w:qFormat/>
    <w:rPr>
      <w:rFonts w:ascii="Arial" w:hAnsi="Arial" w:eastAsia="Arial" w:cs="Arial"/>
      <w:sz w:val="40"/>
      <w:szCs w:val="40"/>
    </w:rPr>
  </w:style>
  <w:style w:type="character" w:styleId="914" w:customStyle="1">
    <w:name w:val="Heading 2 Char"/>
    <w:uiPriority w:val="9"/>
    <w:qFormat/>
    <w:rPr>
      <w:rFonts w:ascii="Arial" w:hAnsi="Arial" w:eastAsia="Arial" w:cs="Arial"/>
      <w:sz w:val="34"/>
    </w:rPr>
  </w:style>
  <w:style w:type="character" w:styleId="915" w:customStyle="1">
    <w:name w:val="Heading 3 Char"/>
    <w:uiPriority w:val="9"/>
    <w:qFormat/>
    <w:rPr>
      <w:rFonts w:ascii="Arial" w:hAnsi="Arial" w:eastAsia="Arial" w:cs="Arial"/>
      <w:sz w:val="30"/>
      <w:szCs w:val="30"/>
    </w:rPr>
  </w:style>
  <w:style w:type="character" w:styleId="916" w:customStyle="1">
    <w:name w:val="Heading 4 Char"/>
    <w:uiPriority w:val="9"/>
    <w:qFormat/>
    <w:rPr>
      <w:rFonts w:ascii="Arial" w:hAnsi="Arial" w:eastAsia="Arial" w:cs="Arial"/>
      <w:b/>
      <w:bCs/>
      <w:sz w:val="26"/>
      <w:szCs w:val="26"/>
    </w:rPr>
  </w:style>
  <w:style w:type="character" w:styleId="917" w:customStyle="1">
    <w:name w:val="Heading 5 Char"/>
    <w:uiPriority w:val="9"/>
    <w:qFormat/>
    <w:rPr>
      <w:rFonts w:ascii="Arial" w:hAnsi="Arial" w:eastAsia="Arial" w:cs="Arial"/>
      <w:b/>
      <w:bCs/>
      <w:sz w:val="24"/>
      <w:szCs w:val="24"/>
    </w:rPr>
  </w:style>
  <w:style w:type="character" w:styleId="918" w:customStyle="1">
    <w:name w:val="Heading 6 Char"/>
    <w:uiPriority w:val="9"/>
    <w:qFormat/>
    <w:rPr>
      <w:rFonts w:ascii="Arial" w:hAnsi="Arial" w:eastAsia="Arial" w:cs="Arial"/>
      <w:b/>
      <w:bCs/>
      <w:sz w:val="22"/>
      <w:szCs w:val="22"/>
    </w:rPr>
  </w:style>
  <w:style w:type="character" w:styleId="919" w:customStyle="1">
    <w:name w:val="Heading 7 Char"/>
    <w:uiPriority w:val="9"/>
    <w:qFormat/>
    <w:rPr>
      <w:rFonts w:ascii="Arial" w:hAnsi="Arial" w:eastAsia="Arial" w:cs="Arial"/>
      <w:b/>
      <w:bCs/>
      <w:i/>
      <w:iCs/>
      <w:sz w:val="22"/>
      <w:szCs w:val="22"/>
    </w:rPr>
  </w:style>
  <w:style w:type="character" w:styleId="920" w:customStyle="1">
    <w:name w:val="Heading 8 Char"/>
    <w:uiPriority w:val="9"/>
    <w:qFormat/>
    <w:rPr>
      <w:rFonts w:ascii="Arial" w:hAnsi="Arial" w:eastAsia="Arial" w:cs="Arial"/>
      <w:i/>
      <w:iCs/>
      <w:sz w:val="22"/>
      <w:szCs w:val="22"/>
    </w:rPr>
  </w:style>
  <w:style w:type="character" w:styleId="921" w:customStyle="1">
    <w:name w:val="Heading 9 Char"/>
    <w:uiPriority w:val="9"/>
    <w:qFormat/>
    <w:rPr>
      <w:rFonts w:ascii="Arial" w:hAnsi="Arial" w:eastAsia="Arial" w:cs="Arial"/>
      <w:i/>
      <w:iCs/>
      <w:sz w:val="21"/>
      <w:szCs w:val="21"/>
    </w:rPr>
  </w:style>
  <w:style w:type="paragraph" w:styleId="922">
    <w:name w:val="No Spacing"/>
    <w:uiPriority w:val="1"/>
    <w:qFormat/>
    <w:rPr>
      <w:rFonts w:ascii="Calibri" w:hAnsi="Calibri" w:eastAsia="宋体" w:cs="Times New Roman"/>
      <w:lang w:val="en-US" w:eastAsia="zh-CN" w:bidi="ar-SA"/>
    </w:rPr>
  </w:style>
  <w:style w:type="character" w:styleId="923" w:customStyle="1">
    <w:name w:val="Title Char"/>
    <w:uiPriority w:val="10"/>
    <w:qFormat/>
    <w:rPr>
      <w:sz w:val="48"/>
      <w:szCs w:val="48"/>
    </w:rPr>
  </w:style>
  <w:style w:type="character" w:styleId="924" w:customStyle="1">
    <w:name w:val="Subtitle Char"/>
    <w:uiPriority w:val="11"/>
    <w:qFormat/>
    <w:rPr>
      <w:sz w:val="24"/>
      <w:szCs w:val="24"/>
    </w:rPr>
  </w:style>
  <w:style w:type="paragraph" w:styleId="925">
    <w:name w:val="Quote"/>
    <w:basedOn w:val="712"/>
    <w:next w:val="712"/>
    <w:link w:val="926"/>
    <w:uiPriority w:val="29"/>
    <w:qFormat/>
    <w:pPr>
      <w:ind w:left="720" w:right="720"/>
    </w:pPr>
    <w:rPr>
      <w:rFonts w:ascii="Times New Roman" w:hAnsi="Times New Roman" w:eastAsia="宋体"/>
      <w:i/>
      <w:szCs w:val="21"/>
    </w:rPr>
  </w:style>
  <w:style w:type="character" w:styleId="926" w:customStyle="1">
    <w:name w:val="引用 字符"/>
    <w:basedOn w:val="772"/>
    <w:link w:val="925"/>
    <w:uiPriority w:val="29"/>
    <w:qFormat/>
    <w:rPr>
      <w:rFonts w:ascii="Times New Roman" w:hAnsi="Times New Roman" w:eastAsia="宋体" w:cs="Times New Roman"/>
      <w:i/>
      <w:sz w:val="21"/>
      <w:szCs w:val="21"/>
    </w:rPr>
  </w:style>
  <w:style w:type="character" w:styleId="927" w:customStyle="1">
    <w:name w:val="Quote Char"/>
    <w:uiPriority w:val="29"/>
    <w:qFormat/>
    <w:rPr>
      <w:i/>
    </w:rPr>
  </w:style>
  <w:style w:type="paragraph" w:styleId="928">
    <w:name w:val="Intense Quote"/>
    <w:basedOn w:val="712"/>
    <w:next w:val="712"/>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29" w:customStyle="1">
    <w:name w:val="明显引用 字符"/>
    <w:basedOn w:val="772"/>
    <w:link w:val="928"/>
    <w:uiPriority w:val="30"/>
    <w:qFormat/>
    <w:rPr>
      <w:rFonts w:ascii="Times New Roman" w:hAnsi="Times New Roman" w:eastAsia="宋体" w:cs="Times New Roman"/>
      <w:i/>
      <w:sz w:val="21"/>
      <w:szCs w:val="21"/>
      <w:shd w:val="clear" w:color="auto" w:fill="f2f2f2"/>
    </w:rPr>
  </w:style>
  <w:style w:type="character" w:styleId="930" w:customStyle="1">
    <w:name w:val="Intense Quote Char"/>
    <w:uiPriority w:val="30"/>
    <w:qFormat/>
    <w:rPr>
      <w:i/>
    </w:rPr>
  </w:style>
  <w:style w:type="character" w:styleId="931" w:customStyle="1">
    <w:name w:val="Header Char"/>
    <w:uiPriority w:val="99"/>
    <w:qFormat/>
  </w:style>
  <w:style w:type="character" w:styleId="932" w:customStyle="1">
    <w:name w:val="Footer Char"/>
    <w:uiPriority w:val="99"/>
    <w:qFormat/>
  </w:style>
  <w:style w:type="character" w:styleId="933" w:customStyle="1">
    <w:name w:val="Caption Char"/>
    <w:uiPriority w:val="99"/>
    <w:qFormat/>
  </w:style>
  <w:style w:type="character" w:styleId="934" w:customStyle="1">
    <w:name w:val="Footnote Text Char"/>
    <w:uiPriority w:val="99"/>
    <w:qFormat/>
    <w:rPr>
      <w:sz w:val="18"/>
    </w:rPr>
  </w:style>
  <w:style w:type="character" w:styleId="935" w:customStyle="1">
    <w:name w:val="Endnote Text Char"/>
    <w:uiPriority w:val="99"/>
    <w:qFormat/>
    <w:rPr>
      <w:sz w:val="20"/>
    </w:rPr>
  </w:style>
  <w:style w:type="paragraph" w:styleId="936" w:customStyle="1">
    <w:name w:val="目录 71"/>
    <w:basedOn w:val="712"/>
    <w:next w:val="712"/>
    <w:uiPriority w:val="39"/>
    <w:unhideWhenUsed/>
    <w:qFormat/>
    <w:pPr>
      <w:ind w:left="1701"/>
      <w:spacing w:after="57"/>
    </w:pPr>
    <w:rPr>
      <w:rFonts w:ascii="Times New Roman" w:hAnsi="Times New Roman" w:eastAsia="宋体"/>
      <w:szCs w:val="21"/>
    </w:rPr>
  </w:style>
  <w:style w:type="paragraph" w:styleId="937" w:customStyle="1">
    <w:name w:val="目录 51"/>
    <w:basedOn w:val="712"/>
    <w:next w:val="712"/>
    <w:uiPriority w:val="39"/>
    <w:unhideWhenUsed/>
    <w:qFormat/>
    <w:pPr>
      <w:ind w:left="1134"/>
      <w:spacing w:after="57"/>
    </w:pPr>
    <w:rPr>
      <w:rFonts w:ascii="Times New Roman" w:hAnsi="Times New Roman" w:eastAsia="宋体"/>
      <w:szCs w:val="21"/>
    </w:rPr>
  </w:style>
  <w:style w:type="paragraph" w:styleId="938" w:customStyle="1">
    <w:name w:val="目录 31"/>
    <w:basedOn w:val="712"/>
    <w:next w:val="712"/>
    <w:uiPriority w:val="39"/>
    <w:unhideWhenUsed/>
    <w:qFormat/>
    <w:pPr>
      <w:ind w:left="567"/>
      <w:spacing w:after="57"/>
    </w:pPr>
    <w:rPr>
      <w:rFonts w:ascii="Times New Roman" w:hAnsi="Times New Roman" w:eastAsia="宋体"/>
      <w:szCs w:val="21"/>
    </w:rPr>
  </w:style>
  <w:style w:type="paragraph" w:styleId="939" w:customStyle="1">
    <w:name w:val="目录 81"/>
    <w:basedOn w:val="712"/>
    <w:next w:val="712"/>
    <w:uiPriority w:val="39"/>
    <w:unhideWhenUsed/>
    <w:qFormat/>
    <w:pPr>
      <w:ind w:left="1984"/>
      <w:spacing w:after="57"/>
    </w:pPr>
    <w:rPr>
      <w:rFonts w:ascii="Times New Roman" w:hAnsi="Times New Roman" w:eastAsia="宋体"/>
      <w:szCs w:val="21"/>
    </w:rPr>
  </w:style>
  <w:style w:type="character" w:styleId="940" w:customStyle="1">
    <w:name w:val="页脚 字符1"/>
    <w:uiPriority w:val="99"/>
    <w:qFormat/>
  </w:style>
  <w:style w:type="paragraph" w:styleId="941" w:customStyle="1">
    <w:name w:val="目录 11"/>
    <w:basedOn w:val="712"/>
    <w:next w:val="712"/>
    <w:uiPriority w:val="39"/>
    <w:unhideWhenUsed/>
    <w:qFormat/>
    <w:pPr>
      <w:spacing w:after="57"/>
    </w:pPr>
    <w:rPr>
      <w:rFonts w:ascii="Times New Roman" w:hAnsi="Times New Roman" w:eastAsia="宋体"/>
      <w:szCs w:val="21"/>
    </w:rPr>
  </w:style>
  <w:style w:type="paragraph" w:styleId="942" w:customStyle="1">
    <w:name w:val="目录 41"/>
    <w:basedOn w:val="712"/>
    <w:next w:val="712"/>
    <w:uiPriority w:val="39"/>
    <w:unhideWhenUsed/>
    <w:qFormat/>
    <w:pPr>
      <w:ind w:left="850"/>
      <w:spacing w:after="57"/>
    </w:pPr>
    <w:rPr>
      <w:rFonts w:ascii="Times New Roman" w:hAnsi="Times New Roman" w:eastAsia="宋体"/>
      <w:szCs w:val="21"/>
    </w:rPr>
  </w:style>
  <w:style w:type="paragraph" w:styleId="943" w:customStyle="1">
    <w:name w:val="目录 61"/>
    <w:basedOn w:val="712"/>
    <w:next w:val="712"/>
    <w:uiPriority w:val="39"/>
    <w:unhideWhenUsed/>
    <w:qFormat/>
    <w:pPr>
      <w:ind w:left="1417"/>
      <w:spacing w:after="57"/>
    </w:pPr>
    <w:rPr>
      <w:rFonts w:ascii="Times New Roman" w:hAnsi="Times New Roman" w:eastAsia="宋体"/>
      <w:szCs w:val="21"/>
    </w:rPr>
  </w:style>
  <w:style w:type="paragraph" w:styleId="944" w:customStyle="1">
    <w:name w:val="目录 21"/>
    <w:basedOn w:val="712"/>
    <w:next w:val="712"/>
    <w:uiPriority w:val="39"/>
    <w:unhideWhenUsed/>
    <w:qFormat/>
    <w:pPr>
      <w:ind w:left="283"/>
      <w:spacing w:after="57"/>
    </w:pPr>
    <w:rPr>
      <w:rFonts w:ascii="Times New Roman" w:hAnsi="Times New Roman" w:eastAsia="宋体"/>
      <w:szCs w:val="21"/>
    </w:rPr>
  </w:style>
  <w:style w:type="paragraph" w:styleId="945" w:customStyle="1">
    <w:name w:val="目录 91"/>
    <w:basedOn w:val="712"/>
    <w:next w:val="712"/>
    <w:uiPriority w:val="39"/>
    <w:unhideWhenUsed/>
    <w:qFormat/>
    <w:pPr>
      <w:ind w:left="2268"/>
      <w:spacing w:after="57"/>
    </w:pPr>
    <w:rPr>
      <w:rFonts w:ascii="Times New Roman" w:hAnsi="Times New Roman" w:eastAsia="宋体"/>
      <w:szCs w:val="21"/>
    </w:rPr>
  </w:style>
  <w:style w:type="character" w:styleId="946" w:customStyle="1">
    <w:name w:val="font5 Char"/>
    <w:uiPriority w:val="0"/>
    <w:qFormat/>
    <w:rPr>
      <w:rFonts w:ascii="宋体" w:hAnsi="宋体" w:eastAsia="宋体"/>
      <w:sz w:val="28"/>
      <w:szCs w:val="28"/>
      <w:lang w:val="en-US" w:eastAsia="zh-CN" w:bidi="ar-SA"/>
    </w:rPr>
  </w:style>
  <w:style w:type="paragraph" w:styleId="947" w:customStyle="1">
    <w:name w:val="列出段落2"/>
    <w:basedOn w:val="712"/>
    <w:uiPriority w:val="34"/>
    <w:qFormat/>
    <w:pPr>
      <w:contextualSpacing/>
      <w:ind w:left="720"/>
    </w:pPr>
    <w:rPr>
      <w:rFonts w:ascii="Times New Roman" w:hAnsi="Times New Roman" w:eastAsia="宋体"/>
      <w:szCs w:val="21"/>
    </w:rPr>
  </w:style>
  <w:style w:type="table" w:styleId="948" w:customStyle="1">
    <w:name w:val="Table Grid Light"/>
    <w:uiPriority w:val="59"/>
    <w:qFormat/>
    <w:rPr>
      <w:rFonts w:ascii="Calibri" w:hAnsi="Calibri"/>
    </w:rPr>
    <w:tblPr>
      <w:tblCellMar>
        <w:left w:w="0" w:type="dxa"/>
        <w:top w:w="0" w:type="dxa"/>
        <w:right w:w="0" w:type="dxa"/>
        <w:bottom w:w="0" w:type="dxa"/>
      </w:tblCellMar>
    </w:tblPr>
  </w:style>
  <w:style w:type="table" w:styleId="949" w:customStyle="1">
    <w:name w:val="无格式表格 11"/>
    <w:uiPriority w:val="59"/>
    <w:qFormat/>
    <w:rPr>
      <w:rFonts w:ascii="Calibri" w:hAnsi="Calibri"/>
    </w:rPr>
    <w:tblPr>
      <w:tblCellMar>
        <w:left w:w="0" w:type="dxa"/>
        <w:top w:w="0" w:type="dxa"/>
        <w:right w:w="0" w:type="dxa"/>
        <w:bottom w:w="0" w:type="dxa"/>
      </w:tblCellMar>
    </w:tblPr>
  </w:style>
  <w:style w:type="table" w:styleId="950" w:customStyle="1">
    <w:name w:val="无格式表格 21"/>
    <w:uiPriority w:val="59"/>
    <w:qFormat/>
    <w:rPr>
      <w:rFonts w:ascii="Calibri" w:hAnsi="Calibri"/>
    </w:rPr>
    <w:tblPr>
      <w:tblCellMar>
        <w:left w:w="0" w:type="dxa"/>
        <w:top w:w="0" w:type="dxa"/>
        <w:right w:w="0" w:type="dxa"/>
        <w:bottom w:w="0" w:type="dxa"/>
      </w:tblCellMar>
    </w:tblPr>
  </w:style>
  <w:style w:type="table" w:styleId="951" w:customStyle="1">
    <w:name w:val="无格式表格 31"/>
    <w:uiPriority w:val="99"/>
    <w:qFormat/>
    <w:rPr>
      <w:rFonts w:ascii="Calibri" w:hAnsi="Calibri"/>
    </w:rPr>
    <w:tblPr>
      <w:tblCellMar>
        <w:left w:w="0" w:type="dxa"/>
        <w:top w:w="0" w:type="dxa"/>
        <w:right w:w="0" w:type="dxa"/>
        <w:bottom w:w="0" w:type="dxa"/>
      </w:tblCellMar>
    </w:tblPr>
  </w:style>
  <w:style w:type="table" w:styleId="952" w:customStyle="1">
    <w:name w:val="无格式表格 41"/>
    <w:uiPriority w:val="99"/>
    <w:qFormat/>
    <w:rPr>
      <w:rFonts w:ascii="Calibri" w:hAnsi="Calibri"/>
    </w:rPr>
    <w:tblPr>
      <w:tblCellMar>
        <w:left w:w="0" w:type="dxa"/>
        <w:top w:w="0" w:type="dxa"/>
        <w:right w:w="0" w:type="dxa"/>
        <w:bottom w:w="0" w:type="dxa"/>
      </w:tblCellMar>
    </w:tblPr>
  </w:style>
  <w:style w:type="table" w:styleId="953" w:customStyle="1">
    <w:name w:val="无格式表格 51"/>
    <w:uiPriority w:val="99"/>
    <w:qFormat/>
    <w:rPr>
      <w:rFonts w:ascii="Calibri" w:hAnsi="Calibri"/>
    </w:rPr>
    <w:tblPr>
      <w:tblCellMar>
        <w:left w:w="0" w:type="dxa"/>
        <w:top w:w="0" w:type="dxa"/>
        <w:right w:w="0" w:type="dxa"/>
        <w:bottom w:w="0" w:type="dxa"/>
      </w:tblCellMar>
    </w:tblPr>
  </w:style>
  <w:style w:type="table" w:styleId="954" w:customStyle="1">
    <w:name w:val="网格表 1 浅色1"/>
    <w:uiPriority w:val="99"/>
    <w:qFormat/>
    <w:rPr>
      <w:rFonts w:ascii="Calibri" w:hAnsi="Calibri"/>
    </w:rPr>
    <w:tblPr>
      <w:tblCellMar>
        <w:left w:w="0" w:type="dxa"/>
        <w:top w:w="0" w:type="dxa"/>
        <w:right w:w="0" w:type="dxa"/>
        <w:bottom w:w="0" w:type="dxa"/>
      </w:tblCellMar>
    </w:tblPr>
  </w:style>
  <w:style w:type="table" w:styleId="955" w:customStyle="1">
    <w:name w:val="Grid Table 1 Light - Accent 1"/>
    <w:uiPriority w:val="99"/>
    <w:qFormat/>
    <w:rPr>
      <w:rFonts w:ascii="Calibri" w:hAnsi="Calibri"/>
    </w:rPr>
    <w:tblPr>
      <w:tblCellMar>
        <w:left w:w="0" w:type="dxa"/>
        <w:top w:w="0" w:type="dxa"/>
        <w:right w:w="0" w:type="dxa"/>
        <w:bottom w:w="0" w:type="dxa"/>
      </w:tblCellMar>
    </w:tblPr>
  </w:style>
  <w:style w:type="table" w:styleId="956" w:customStyle="1">
    <w:name w:val="Grid Table 1 Light - Accent 2"/>
    <w:uiPriority w:val="99"/>
    <w:qFormat/>
    <w:rPr>
      <w:rFonts w:ascii="Calibri" w:hAnsi="Calibri"/>
    </w:rPr>
    <w:tblPr>
      <w:tblCellMar>
        <w:left w:w="0" w:type="dxa"/>
        <w:top w:w="0" w:type="dxa"/>
        <w:right w:w="0" w:type="dxa"/>
        <w:bottom w:w="0" w:type="dxa"/>
      </w:tblCellMar>
    </w:tblPr>
  </w:style>
  <w:style w:type="table" w:styleId="957" w:customStyle="1">
    <w:name w:val="Grid Table 1 Light - Accent 3"/>
    <w:uiPriority w:val="99"/>
    <w:qFormat/>
    <w:rPr>
      <w:rFonts w:ascii="Calibri" w:hAnsi="Calibri"/>
    </w:rPr>
    <w:tblPr>
      <w:tblCellMar>
        <w:left w:w="0" w:type="dxa"/>
        <w:top w:w="0" w:type="dxa"/>
        <w:right w:w="0" w:type="dxa"/>
        <w:bottom w:w="0" w:type="dxa"/>
      </w:tblCellMar>
    </w:tblPr>
  </w:style>
  <w:style w:type="table" w:styleId="958" w:customStyle="1">
    <w:name w:val="Grid Table 1 Light - Accent 4"/>
    <w:uiPriority w:val="99"/>
    <w:qFormat/>
    <w:rPr>
      <w:rFonts w:ascii="Calibri" w:hAnsi="Calibri"/>
    </w:rPr>
    <w:tblPr>
      <w:tblCellMar>
        <w:left w:w="0" w:type="dxa"/>
        <w:top w:w="0" w:type="dxa"/>
        <w:right w:w="0" w:type="dxa"/>
        <w:bottom w:w="0" w:type="dxa"/>
      </w:tblCellMar>
    </w:tblPr>
  </w:style>
  <w:style w:type="table" w:styleId="959" w:customStyle="1">
    <w:name w:val="Grid Table 1 Light - Accent 5"/>
    <w:uiPriority w:val="99"/>
    <w:qFormat/>
    <w:rPr>
      <w:rFonts w:ascii="Calibri" w:hAnsi="Calibri"/>
    </w:rPr>
    <w:tblPr>
      <w:tblCellMar>
        <w:left w:w="0" w:type="dxa"/>
        <w:top w:w="0" w:type="dxa"/>
        <w:right w:w="0" w:type="dxa"/>
        <w:bottom w:w="0" w:type="dxa"/>
      </w:tblCellMar>
    </w:tblPr>
  </w:style>
  <w:style w:type="table" w:styleId="960" w:customStyle="1">
    <w:name w:val="Grid Table 1 Light - Accent 6"/>
    <w:uiPriority w:val="99"/>
    <w:qFormat/>
    <w:rPr>
      <w:rFonts w:ascii="Calibri" w:hAnsi="Calibri"/>
    </w:rPr>
    <w:tblPr>
      <w:tblCellMar>
        <w:left w:w="0" w:type="dxa"/>
        <w:top w:w="0" w:type="dxa"/>
        <w:right w:w="0" w:type="dxa"/>
        <w:bottom w:w="0" w:type="dxa"/>
      </w:tblCellMar>
    </w:tblPr>
  </w:style>
  <w:style w:type="table" w:styleId="961" w:customStyle="1">
    <w:name w:val="网格表 21"/>
    <w:uiPriority w:val="99"/>
    <w:qFormat/>
    <w:rPr>
      <w:rFonts w:ascii="Calibri" w:hAnsi="Calibri"/>
    </w:rPr>
    <w:tblPr>
      <w:tblCellMar>
        <w:left w:w="0" w:type="dxa"/>
        <w:top w:w="0" w:type="dxa"/>
        <w:right w:w="0" w:type="dxa"/>
        <w:bottom w:w="0" w:type="dxa"/>
      </w:tblCellMar>
    </w:tblPr>
  </w:style>
  <w:style w:type="table" w:styleId="962" w:customStyle="1">
    <w:name w:val="Grid Table 2 - Accent 1"/>
    <w:uiPriority w:val="99"/>
    <w:qFormat/>
    <w:rPr>
      <w:rFonts w:ascii="Calibri" w:hAnsi="Calibri"/>
    </w:rPr>
    <w:tblPr>
      <w:tblCellMar>
        <w:left w:w="0" w:type="dxa"/>
        <w:top w:w="0" w:type="dxa"/>
        <w:right w:w="0" w:type="dxa"/>
        <w:bottom w:w="0" w:type="dxa"/>
      </w:tblCellMar>
    </w:tblPr>
  </w:style>
  <w:style w:type="table" w:styleId="963" w:customStyle="1">
    <w:name w:val="Grid Table 2 - Accent 2"/>
    <w:uiPriority w:val="99"/>
    <w:qFormat/>
    <w:rPr>
      <w:rFonts w:ascii="Calibri" w:hAnsi="Calibri"/>
    </w:rPr>
    <w:tblPr>
      <w:tblCellMar>
        <w:left w:w="0" w:type="dxa"/>
        <w:top w:w="0" w:type="dxa"/>
        <w:right w:w="0" w:type="dxa"/>
        <w:bottom w:w="0" w:type="dxa"/>
      </w:tblCellMar>
    </w:tblPr>
  </w:style>
  <w:style w:type="table" w:styleId="964" w:customStyle="1">
    <w:name w:val="Grid Table 2 - Accent 3"/>
    <w:uiPriority w:val="99"/>
    <w:qFormat/>
    <w:rPr>
      <w:rFonts w:ascii="Calibri" w:hAnsi="Calibri"/>
    </w:rPr>
    <w:tblPr>
      <w:tblCellMar>
        <w:left w:w="0" w:type="dxa"/>
        <w:top w:w="0" w:type="dxa"/>
        <w:right w:w="0" w:type="dxa"/>
        <w:bottom w:w="0" w:type="dxa"/>
      </w:tblCellMar>
    </w:tblPr>
  </w:style>
  <w:style w:type="table" w:styleId="965" w:customStyle="1">
    <w:name w:val="Grid Table 2 - Accent 4"/>
    <w:uiPriority w:val="99"/>
    <w:qFormat/>
    <w:rPr>
      <w:rFonts w:ascii="Calibri" w:hAnsi="Calibri"/>
    </w:rPr>
    <w:tblPr>
      <w:tblCellMar>
        <w:left w:w="0" w:type="dxa"/>
        <w:top w:w="0" w:type="dxa"/>
        <w:right w:w="0" w:type="dxa"/>
        <w:bottom w:w="0" w:type="dxa"/>
      </w:tblCellMar>
    </w:tblPr>
  </w:style>
  <w:style w:type="table" w:styleId="966" w:customStyle="1">
    <w:name w:val="Grid Table 2 - Accent 5"/>
    <w:uiPriority w:val="99"/>
    <w:qFormat/>
    <w:rPr>
      <w:rFonts w:ascii="Calibri" w:hAnsi="Calibri"/>
    </w:rPr>
    <w:tblPr>
      <w:tblCellMar>
        <w:left w:w="0" w:type="dxa"/>
        <w:top w:w="0" w:type="dxa"/>
        <w:right w:w="0" w:type="dxa"/>
        <w:bottom w:w="0" w:type="dxa"/>
      </w:tblCellMar>
    </w:tblPr>
  </w:style>
  <w:style w:type="table" w:styleId="967" w:customStyle="1">
    <w:name w:val="Grid Table 2 - Accent 6"/>
    <w:uiPriority w:val="99"/>
    <w:qFormat/>
    <w:rPr>
      <w:rFonts w:ascii="Calibri" w:hAnsi="Calibri"/>
    </w:rPr>
    <w:tblPr>
      <w:tblCellMar>
        <w:left w:w="0" w:type="dxa"/>
        <w:top w:w="0" w:type="dxa"/>
        <w:right w:w="0" w:type="dxa"/>
        <w:bottom w:w="0" w:type="dxa"/>
      </w:tblCellMar>
    </w:tblPr>
  </w:style>
  <w:style w:type="table" w:styleId="968" w:customStyle="1">
    <w:name w:val="网格表 31"/>
    <w:uiPriority w:val="99"/>
    <w:qFormat/>
    <w:rPr>
      <w:rFonts w:ascii="Calibri" w:hAnsi="Calibri"/>
    </w:rPr>
    <w:tblPr>
      <w:tblCellMar>
        <w:left w:w="0" w:type="dxa"/>
        <w:top w:w="0" w:type="dxa"/>
        <w:right w:w="0" w:type="dxa"/>
        <w:bottom w:w="0" w:type="dxa"/>
      </w:tblCellMar>
    </w:tblPr>
  </w:style>
  <w:style w:type="table" w:styleId="969" w:customStyle="1">
    <w:name w:val="Grid Table 3 - Accent 1"/>
    <w:uiPriority w:val="99"/>
    <w:qFormat/>
    <w:rPr>
      <w:rFonts w:ascii="Calibri" w:hAnsi="Calibri"/>
    </w:rPr>
    <w:tblPr>
      <w:tblCellMar>
        <w:left w:w="0" w:type="dxa"/>
        <w:top w:w="0" w:type="dxa"/>
        <w:right w:w="0" w:type="dxa"/>
        <w:bottom w:w="0" w:type="dxa"/>
      </w:tblCellMar>
    </w:tblPr>
  </w:style>
  <w:style w:type="table" w:styleId="970" w:customStyle="1">
    <w:name w:val="Grid Table 3 - Accent 2"/>
    <w:uiPriority w:val="99"/>
    <w:qFormat/>
    <w:rPr>
      <w:rFonts w:ascii="Calibri" w:hAnsi="Calibri"/>
    </w:rPr>
    <w:tblPr>
      <w:tblCellMar>
        <w:left w:w="0" w:type="dxa"/>
        <w:top w:w="0" w:type="dxa"/>
        <w:right w:w="0" w:type="dxa"/>
        <w:bottom w:w="0" w:type="dxa"/>
      </w:tblCellMar>
    </w:tblPr>
  </w:style>
  <w:style w:type="table" w:styleId="971" w:customStyle="1">
    <w:name w:val="Grid Table 3 - Accent 3"/>
    <w:uiPriority w:val="99"/>
    <w:qFormat/>
    <w:rPr>
      <w:rFonts w:ascii="Calibri" w:hAnsi="Calibri"/>
    </w:rPr>
    <w:tblPr>
      <w:tblCellMar>
        <w:left w:w="0" w:type="dxa"/>
        <w:top w:w="0" w:type="dxa"/>
        <w:right w:w="0" w:type="dxa"/>
        <w:bottom w:w="0" w:type="dxa"/>
      </w:tblCellMar>
    </w:tblPr>
  </w:style>
  <w:style w:type="table" w:styleId="972" w:customStyle="1">
    <w:name w:val="Grid Table 3 - Accent 4"/>
    <w:uiPriority w:val="99"/>
    <w:qFormat/>
    <w:rPr>
      <w:rFonts w:ascii="Calibri" w:hAnsi="Calibri"/>
    </w:rPr>
    <w:tblPr>
      <w:tblCellMar>
        <w:left w:w="0" w:type="dxa"/>
        <w:top w:w="0" w:type="dxa"/>
        <w:right w:w="0" w:type="dxa"/>
        <w:bottom w:w="0" w:type="dxa"/>
      </w:tblCellMar>
    </w:tblPr>
  </w:style>
  <w:style w:type="table" w:styleId="973" w:customStyle="1">
    <w:name w:val="Grid Table 3 - Accent 5"/>
    <w:uiPriority w:val="99"/>
    <w:qFormat/>
    <w:rPr>
      <w:rFonts w:ascii="Calibri" w:hAnsi="Calibri"/>
    </w:rPr>
    <w:tblPr>
      <w:tblCellMar>
        <w:left w:w="0" w:type="dxa"/>
        <w:top w:w="0" w:type="dxa"/>
        <w:right w:w="0" w:type="dxa"/>
        <w:bottom w:w="0" w:type="dxa"/>
      </w:tblCellMar>
    </w:tblPr>
  </w:style>
  <w:style w:type="table" w:styleId="974" w:customStyle="1">
    <w:name w:val="Grid Table 3 - Accent 6"/>
    <w:uiPriority w:val="99"/>
    <w:qFormat/>
    <w:rPr>
      <w:rFonts w:ascii="Calibri" w:hAnsi="Calibri"/>
    </w:rPr>
    <w:tblPr>
      <w:tblCellMar>
        <w:left w:w="0" w:type="dxa"/>
        <w:top w:w="0" w:type="dxa"/>
        <w:right w:w="0" w:type="dxa"/>
        <w:bottom w:w="0" w:type="dxa"/>
      </w:tblCellMar>
    </w:tblPr>
  </w:style>
  <w:style w:type="table" w:styleId="975" w:customStyle="1">
    <w:name w:val="网格表 41"/>
    <w:uiPriority w:val="59"/>
    <w:qFormat/>
    <w:rPr>
      <w:rFonts w:ascii="Calibri" w:hAnsi="Calibri"/>
    </w:rPr>
    <w:tblPr>
      <w:tblCellMar>
        <w:left w:w="0" w:type="dxa"/>
        <w:top w:w="0" w:type="dxa"/>
        <w:right w:w="0" w:type="dxa"/>
        <w:bottom w:w="0" w:type="dxa"/>
      </w:tblCellMar>
    </w:tblPr>
  </w:style>
  <w:style w:type="table" w:styleId="976" w:customStyle="1">
    <w:name w:val="Grid Table 4 - Accent 1"/>
    <w:uiPriority w:val="59"/>
    <w:qFormat/>
    <w:rPr>
      <w:rFonts w:ascii="Calibri" w:hAnsi="Calibri"/>
    </w:rPr>
    <w:tblPr>
      <w:tblCellMar>
        <w:left w:w="0" w:type="dxa"/>
        <w:top w:w="0" w:type="dxa"/>
        <w:right w:w="0" w:type="dxa"/>
        <w:bottom w:w="0" w:type="dxa"/>
      </w:tblCellMar>
    </w:tblPr>
  </w:style>
  <w:style w:type="table" w:styleId="977" w:customStyle="1">
    <w:name w:val="Grid Table 4 - Accent 2"/>
    <w:uiPriority w:val="59"/>
    <w:qFormat/>
    <w:rPr>
      <w:rFonts w:ascii="Calibri" w:hAnsi="Calibri"/>
    </w:rPr>
    <w:tblPr>
      <w:tblCellMar>
        <w:left w:w="0" w:type="dxa"/>
        <w:top w:w="0" w:type="dxa"/>
        <w:right w:w="0" w:type="dxa"/>
        <w:bottom w:w="0" w:type="dxa"/>
      </w:tblCellMar>
    </w:tblPr>
  </w:style>
  <w:style w:type="table" w:styleId="978" w:customStyle="1">
    <w:name w:val="Grid Table 4 - Accent 3"/>
    <w:uiPriority w:val="59"/>
    <w:qFormat/>
    <w:rPr>
      <w:rFonts w:ascii="Calibri" w:hAnsi="Calibri"/>
    </w:rPr>
    <w:tblPr>
      <w:tblCellMar>
        <w:left w:w="0" w:type="dxa"/>
        <w:top w:w="0" w:type="dxa"/>
        <w:right w:w="0" w:type="dxa"/>
        <w:bottom w:w="0" w:type="dxa"/>
      </w:tblCellMar>
    </w:tblPr>
  </w:style>
  <w:style w:type="table" w:styleId="979" w:customStyle="1">
    <w:name w:val="Grid Table 4 - Accent 4"/>
    <w:uiPriority w:val="59"/>
    <w:qFormat/>
    <w:rPr>
      <w:rFonts w:ascii="Calibri" w:hAnsi="Calibri"/>
    </w:rPr>
    <w:tblPr>
      <w:tblCellMar>
        <w:left w:w="0" w:type="dxa"/>
        <w:top w:w="0" w:type="dxa"/>
        <w:right w:w="0" w:type="dxa"/>
        <w:bottom w:w="0" w:type="dxa"/>
      </w:tblCellMar>
    </w:tblPr>
  </w:style>
  <w:style w:type="table" w:styleId="980" w:customStyle="1">
    <w:name w:val="Grid Table 4 - Accent 5"/>
    <w:uiPriority w:val="59"/>
    <w:qFormat/>
    <w:rPr>
      <w:rFonts w:ascii="Calibri" w:hAnsi="Calibri"/>
    </w:rPr>
    <w:tblPr>
      <w:tblCellMar>
        <w:left w:w="0" w:type="dxa"/>
        <w:top w:w="0" w:type="dxa"/>
        <w:right w:w="0" w:type="dxa"/>
        <w:bottom w:w="0" w:type="dxa"/>
      </w:tblCellMar>
    </w:tblPr>
  </w:style>
  <w:style w:type="table" w:styleId="981" w:customStyle="1">
    <w:name w:val="Grid Table 4 - Accent 6"/>
    <w:uiPriority w:val="59"/>
    <w:qFormat/>
    <w:rPr>
      <w:rFonts w:ascii="Calibri" w:hAnsi="Calibri"/>
    </w:rPr>
    <w:tblPr>
      <w:tblCellMar>
        <w:left w:w="0" w:type="dxa"/>
        <w:top w:w="0" w:type="dxa"/>
        <w:right w:w="0" w:type="dxa"/>
        <w:bottom w:w="0" w:type="dxa"/>
      </w:tblCellMar>
    </w:tblPr>
  </w:style>
  <w:style w:type="table" w:styleId="982" w:customStyle="1">
    <w:name w:val="网格表 5 深色1"/>
    <w:uiPriority w:val="99"/>
    <w:qFormat/>
    <w:rPr>
      <w:rFonts w:ascii="Calibri" w:hAnsi="Calibri"/>
    </w:rPr>
    <w:tblPr>
      <w:tblCellMar>
        <w:left w:w="0" w:type="dxa"/>
        <w:top w:w="0" w:type="dxa"/>
        <w:right w:w="0" w:type="dxa"/>
        <w:bottom w:w="0" w:type="dxa"/>
      </w:tblCellMar>
    </w:tblPr>
  </w:style>
  <w:style w:type="table" w:styleId="983" w:customStyle="1">
    <w:name w:val="Grid Table 5 Dark- Accent 1"/>
    <w:uiPriority w:val="99"/>
    <w:qFormat/>
    <w:rPr>
      <w:rFonts w:ascii="Calibri" w:hAnsi="Calibri"/>
    </w:rPr>
    <w:tblPr>
      <w:tblCellMar>
        <w:left w:w="0" w:type="dxa"/>
        <w:top w:w="0" w:type="dxa"/>
        <w:right w:w="0" w:type="dxa"/>
        <w:bottom w:w="0" w:type="dxa"/>
      </w:tblCellMar>
    </w:tblPr>
  </w:style>
  <w:style w:type="table" w:styleId="984" w:customStyle="1">
    <w:name w:val="Grid Table 5 Dark - Accent 2"/>
    <w:uiPriority w:val="99"/>
    <w:qFormat/>
    <w:rPr>
      <w:rFonts w:ascii="Calibri" w:hAnsi="Calibri"/>
    </w:rPr>
    <w:tblPr>
      <w:tblCellMar>
        <w:left w:w="0" w:type="dxa"/>
        <w:top w:w="0" w:type="dxa"/>
        <w:right w:w="0" w:type="dxa"/>
        <w:bottom w:w="0" w:type="dxa"/>
      </w:tblCellMar>
    </w:tblPr>
  </w:style>
  <w:style w:type="table" w:styleId="985" w:customStyle="1">
    <w:name w:val="Grid Table 5 Dark - Accent 3"/>
    <w:uiPriority w:val="99"/>
    <w:qFormat/>
    <w:rPr>
      <w:rFonts w:ascii="Calibri" w:hAnsi="Calibri"/>
    </w:rPr>
    <w:tblPr>
      <w:tblCellMar>
        <w:left w:w="0" w:type="dxa"/>
        <w:top w:w="0" w:type="dxa"/>
        <w:right w:w="0" w:type="dxa"/>
        <w:bottom w:w="0" w:type="dxa"/>
      </w:tblCellMar>
    </w:tblPr>
  </w:style>
  <w:style w:type="table" w:styleId="986" w:customStyle="1">
    <w:name w:val="Grid Table 5 Dark- Accent 4"/>
    <w:uiPriority w:val="99"/>
    <w:qFormat/>
    <w:rPr>
      <w:rFonts w:ascii="Calibri" w:hAnsi="Calibri"/>
    </w:rPr>
    <w:tblPr>
      <w:tblCellMar>
        <w:left w:w="0" w:type="dxa"/>
        <w:top w:w="0" w:type="dxa"/>
        <w:right w:w="0" w:type="dxa"/>
        <w:bottom w:w="0" w:type="dxa"/>
      </w:tblCellMar>
    </w:tblPr>
  </w:style>
  <w:style w:type="table" w:styleId="987" w:customStyle="1">
    <w:name w:val="Grid Table 5 Dark - Accent 5"/>
    <w:uiPriority w:val="99"/>
    <w:qFormat/>
    <w:rPr>
      <w:rFonts w:ascii="Calibri" w:hAnsi="Calibri"/>
    </w:rPr>
    <w:tblPr>
      <w:tblCellMar>
        <w:left w:w="0" w:type="dxa"/>
        <w:top w:w="0" w:type="dxa"/>
        <w:right w:w="0" w:type="dxa"/>
        <w:bottom w:w="0" w:type="dxa"/>
      </w:tblCellMar>
    </w:tblPr>
  </w:style>
  <w:style w:type="table" w:styleId="988" w:customStyle="1">
    <w:name w:val="Grid Table 5 Dark - Accent 6"/>
    <w:uiPriority w:val="99"/>
    <w:qFormat/>
    <w:rPr>
      <w:rFonts w:ascii="Calibri" w:hAnsi="Calibri"/>
    </w:rPr>
    <w:tblPr>
      <w:tblCellMar>
        <w:left w:w="0" w:type="dxa"/>
        <w:top w:w="0" w:type="dxa"/>
        <w:right w:w="0" w:type="dxa"/>
        <w:bottom w:w="0" w:type="dxa"/>
      </w:tblCellMar>
    </w:tblPr>
  </w:style>
  <w:style w:type="table" w:styleId="989" w:customStyle="1">
    <w:name w:val="网格表 6 彩色1"/>
    <w:uiPriority w:val="99"/>
    <w:qFormat/>
    <w:rPr>
      <w:rFonts w:ascii="Calibri" w:hAnsi="Calibri"/>
    </w:rPr>
    <w:tblPr>
      <w:tblCellMar>
        <w:left w:w="0" w:type="dxa"/>
        <w:top w:w="0" w:type="dxa"/>
        <w:right w:w="0" w:type="dxa"/>
        <w:bottom w:w="0" w:type="dxa"/>
      </w:tblCellMar>
    </w:tblPr>
  </w:style>
  <w:style w:type="table" w:styleId="990"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991"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992"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993"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994"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995"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996" w:customStyle="1">
    <w:name w:val="网格表 7 彩色1"/>
    <w:uiPriority w:val="99"/>
    <w:qFormat/>
    <w:rPr>
      <w:rFonts w:ascii="Calibri" w:hAnsi="Calibri"/>
    </w:rPr>
    <w:tblPr>
      <w:tblCellMar>
        <w:left w:w="0" w:type="dxa"/>
        <w:top w:w="0" w:type="dxa"/>
        <w:right w:w="0" w:type="dxa"/>
        <w:bottom w:w="0" w:type="dxa"/>
      </w:tblCellMar>
    </w:tblPr>
  </w:style>
  <w:style w:type="table" w:styleId="997"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998"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999"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00"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01"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02"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03" w:customStyle="1">
    <w:name w:val="清单表 1 浅色1"/>
    <w:uiPriority w:val="99"/>
    <w:qFormat/>
    <w:rPr>
      <w:rFonts w:ascii="Calibri" w:hAnsi="Calibri"/>
    </w:rPr>
    <w:tblPr>
      <w:tblCellMar>
        <w:left w:w="0" w:type="dxa"/>
        <w:top w:w="0" w:type="dxa"/>
        <w:right w:w="0" w:type="dxa"/>
        <w:bottom w:w="0" w:type="dxa"/>
      </w:tblCellMar>
    </w:tblPr>
  </w:style>
  <w:style w:type="table" w:styleId="1004" w:customStyle="1">
    <w:name w:val="List Table 1 Light - Accent 1"/>
    <w:uiPriority w:val="99"/>
    <w:qFormat/>
    <w:rPr>
      <w:rFonts w:ascii="Calibri" w:hAnsi="Calibri"/>
    </w:rPr>
    <w:tblPr>
      <w:tblCellMar>
        <w:left w:w="0" w:type="dxa"/>
        <w:top w:w="0" w:type="dxa"/>
        <w:right w:w="0" w:type="dxa"/>
        <w:bottom w:w="0" w:type="dxa"/>
      </w:tblCellMar>
    </w:tblPr>
  </w:style>
  <w:style w:type="table" w:styleId="1005" w:customStyle="1">
    <w:name w:val="List Table 1 Light - Accent 2"/>
    <w:uiPriority w:val="99"/>
    <w:qFormat/>
    <w:rPr>
      <w:rFonts w:ascii="Calibri" w:hAnsi="Calibri"/>
    </w:rPr>
    <w:tblPr>
      <w:tblCellMar>
        <w:left w:w="0" w:type="dxa"/>
        <w:top w:w="0" w:type="dxa"/>
        <w:right w:w="0" w:type="dxa"/>
        <w:bottom w:w="0" w:type="dxa"/>
      </w:tblCellMar>
    </w:tblPr>
  </w:style>
  <w:style w:type="table" w:styleId="1006" w:customStyle="1">
    <w:name w:val="List Table 1 Light - Accent 3"/>
    <w:uiPriority w:val="99"/>
    <w:qFormat/>
    <w:rPr>
      <w:rFonts w:ascii="Calibri" w:hAnsi="Calibri"/>
    </w:rPr>
    <w:tblPr>
      <w:tblCellMar>
        <w:left w:w="0" w:type="dxa"/>
        <w:top w:w="0" w:type="dxa"/>
        <w:right w:w="0" w:type="dxa"/>
        <w:bottom w:w="0" w:type="dxa"/>
      </w:tblCellMar>
    </w:tblPr>
  </w:style>
  <w:style w:type="table" w:styleId="1007" w:customStyle="1">
    <w:name w:val="List Table 1 Light - Accent 4"/>
    <w:uiPriority w:val="99"/>
    <w:qFormat/>
    <w:rPr>
      <w:rFonts w:ascii="Calibri" w:hAnsi="Calibri"/>
    </w:rPr>
    <w:tblPr>
      <w:tblCellMar>
        <w:left w:w="0" w:type="dxa"/>
        <w:top w:w="0" w:type="dxa"/>
        <w:right w:w="0" w:type="dxa"/>
        <w:bottom w:w="0" w:type="dxa"/>
      </w:tblCellMar>
    </w:tblPr>
  </w:style>
  <w:style w:type="table" w:styleId="1008" w:customStyle="1">
    <w:name w:val="List Table 1 Light - Accent 5"/>
    <w:uiPriority w:val="99"/>
    <w:qFormat/>
    <w:rPr>
      <w:rFonts w:ascii="Calibri" w:hAnsi="Calibri"/>
    </w:rPr>
    <w:tblPr>
      <w:tblCellMar>
        <w:left w:w="0" w:type="dxa"/>
        <w:top w:w="0" w:type="dxa"/>
        <w:right w:w="0" w:type="dxa"/>
        <w:bottom w:w="0" w:type="dxa"/>
      </w:tblCellMar>
    </w:tblPr>
  </w:style>
  <w:style w:type="table" w:styleId="1009" w:customStyle="1">
    <w:name w:val="List Table 1 Light - Accent 6"/>
    <w:uiPriority w:val="99"/>
    <w:qFormat/>
    <w:rPr>
      <w:rFonts w:ascii="Calibri" w:hAnsi="Calibri"/>
    </w:rPr>
    <w:tblPr>
      <w:tblCellMar>
        <w:left w:w="0" w:type="dxa"/>
        <w:top w:w="0" w:type="dxa"/>
        <w:right w:w="0" w:type="dxa"/>
        <w:bottom w:w="0" w:type="dxa"/>
      </w:tblCellMar>
    </w:tblPr>
  </w:style>
  <w:style w:type="table" w:styleId="1010" w:customStyle="1">
    <w:name w:val="清单表 21"/>
    <w:uiPriority w:val="99"/>
    <w:qFormat/>
    <w:rPr>
      <w:rFonts w:ascii="Calibri" w:hAnsi="Calibri"/>
    </w:rPr>
    <w:tblPr>
      <w:tblCellMar>
        <w:left w:w="0" w:type="dxa"/>
        <w:top w:w="0" w:type="dxa"/>
        <w:right w:w="0" w:type="dxa"/>
        <w:bottom w:w="0" w:type="dxa"/>
      </w:tblCellMar>
    </w:tblPr>
  </w:style>
  <w:style w:type="table" w:styleId="1011" w:customStyle="1">
    <w:name w:val="List Table 2 - Accent 1"/>
    <w:uiPriority w:val="99"/>
    <w:qFormat/>
    <w:rPr>
      <w:rFonts w:ascii="Calibri" w:hAnsi="Calibri"/>
    </w:rPr>
    <w:tblPr>
      <w:tblCellMar>
        <w:left w:w="0" w:type="dxa"/>
        <w:top w:w="0" w:type="dxa"/>
        <w:right w:w="0" w:type="dxa"/>
        <w:bottom w:w="0" w:type="dxa"/>
      </w:tblCellMar>
    </w:tblPr>
  </w:style>
  <w:style w:type="table" w:styleId="1012" w:customStyle="1">
    <w:name w:val="List Table 2 - Accent 2"/>
    <w:uiPriority w:val="99"/>
    <w:qFormat/>
    <w:rPr>
      <w:rFonts w:ascii="Calibri" w:hAnsi="Calibri"/>
    </w:rPr>
    <w:tblPr>
      <w:tblCellMar>
        <w:left w:w="0" w:type="dxa"/>
        <w:top w:w="0" w:type="dxa"/>
        <w:right w:w="0" w:type="dxa"/>
        <w:bottom w:w="0" w:type="dxa"/>
      </w:tblCellMar>
    </w:tblPr>
  </w:style>
  <w:style w:type="table" w:styleId="1013" w:customStyle="1">
    <w:name w:val="List Table 2 - Accent 3"/>
    <w:uiPriority w:val="99"/>
    <w:qFormat/>
    <w:rPr>
      <w:rFonts w:ascii="Calibri" w:hAnsi="Calibri"/>
    </w:rPr>
    <w:tblPr>
      <w:tblCellMar>
        <w:left w:w="0" w:type="dxa"/>
        <w:top w:w="0" w:type="dxa"/>
        <w:right w:w="0" w:type="dxa"/>
        <w:bottom w:w="0" w:type="dxa"/>
      </w:tblCellMar>
    </w:tblPr>
  </w:style>
  <w:style w:type="table" w:styleId="1014" w:customStyle="1">
    <w:name w:val="List Table 2 - Accent 4"/>
    <w:uiPriority w:val="99"/>
    <w:qFormat/>
    <w:rPr>
      <w:rFonts w:ascii="Calibri" w:hAnsi="Calibri"/>
    </w:rPr>
    <w:tblPr>
      <w:tblCellMar>
        <w:left w:w="0" w:type="dxa"/>
        <w:top w:w="0" w:type="dxa"/>
        <w:right w:w="0" w:type="dxa"/>
        <w:bottom w:w="0" w:type="dxa"/>
      </w:tblCellMar>
    </w:tblPr>
  </w:style>
  <w:style w:type="table" w:styleId="1015" w:customStyle="1">
    <w:name w:val="List Table 2 - Accent 5"/>
    <w:uiPriority w:val="99"/>
    <w:qFormat/>
    <w:rPr>
      <w:rFonts w:ascii="Calibri" w:hAnsi="Calibri"/>
    </w:rPr>
    <w:tblPr>
      <w:tblCellMar>
        <w:left w:w="0" w:type="dxa"/>
        <w:top w:w="0" w:type="dxa"/>
        <w:right w:w="0" w:type="dxa"/>
        <w:bottom w:w="0" w:type="dxa"/>
      </w:tblCellMar>
    </w:tblPr>
  </w:style>
  <w:style w:type="table" w:styleId="1016" w:customStyle="1">
    <w:name w:val="List Table 2 - Accent 6"/>
    <w:uiPriority w:val="99"/>
    <w:qFormat/>
    <w:rPr>
      <w:rFonts w:ascii="Calibri" w:hAnsi="Calibri"/>
    </w:rPr>
    <w:tblPr>
      <w:tblCellMar>
        <w:left w:w="0" w:type="dxa"/>
        <w:top w:w="0" w:type="dxa"/>
        <w:right w:w="0" w:type="dxa"/>
        <w:bottom w:w="0" w:type="dxa"/>
      </w:tblCellMar>
    </w:tblPr>
  </w:style>
  <w:style w:type="table" w:styleId="1017" w:customStyle="1">
    <w:name w:val="清单表 31"/>
    <w:uiPriority w:val="99"/>
    <w:qFormat/>
    <w:rPr>
      <w:rFonts w:ascii="Calibri" w:hAnsi="Calibri"/>
    </w:rPr>
    <w:tblPr>
      <w:tblCellMar>
        <w:left w:w="0" w:type="dxa"/>
        <w:top w:w="0" w:type="dxa"/>
        <w:right w:w="0" w:type="dxa"/>
        <w:bottom w:w="0" w:type="dxa"/>
      </w:tblCellMar>
    </w:tblPr>
  </w:style>
  <w:style w:type="table" w:styleId="1018" w:customStyle="1">
    <w:name w:val="List Table 3 - Accent 1"/>
    <w:uiPriority w:val="99"/>
    <w:qFormat/>
    <w:rPr>
      <w:rFonts w:ascii="Calibri" w:hAnsi="Calibri"/>
    </w:rPr>
    <w:tblPr>
      <w:tblCellMar>
        <w:left w:w="0" w:type="dxa"/>
        <w:top w:w="0" w:type="dxa"/>
        <w:right w:w="0" w:type="dxa"/>
        <w:bottom w:w="0" w:type="dxa"/>
      </w:tblCellMar>
    </w:tblPr>
  </w:style>
  <w:style w:type="table" w:styleId="1019" w:customStyle="1">
    <w:name w:val="List Table 3 - Accent 2"/>
    <w:uiPriority w:val="99"/>
    <w:qFormat/>
    <w:rPr>
      <w:rFonts w:ascii="Calibri" w:hAnsi="Calibri"/>
    </w:rPr>
    <w:tblPr>
      <w:tblCellMar>
        <w:left w:w="0" w:type="dxa"/>
        <w:top w:w="0" w:type="dxa"/>
        <w:right w:w="0" w:type="dxa"/>
        <w:bottom w:w="0" w:type="dxa"/>
      </w:tblCellMar>
    </w:tblPr>
  </w:style>
  <w:style w:type="table" w:styleId="1020" w:customStyle="1">
    <w:name w:val="List Table 3 - Accent 3"/>
    <w:uiPriority w:val="99"/>
    <w:qFormat/>
    <w:rPr>
      <w:rFonts w:ascii="Calibri" w:hAnsi="Calibri"/>
    </w:rPr>
    <w:tblPr>
      <w:tblCellMar>
        <w:left w:w="0" w:type="dxa"/>
        <w:top w:w="0" w:type="dxa"/>
        <w:right w:w="0" w:type="dxa"/>
        <w:bottom w:w="0" w:type="dxa"/>
      </w:tblCellMar>
    </w:tblPr>
  </w:style>
  <w:style w:type="table" w:styleId="1021" w:customStyle="1">
    <w:name w:val="List Table 3 - Accent 4"/>
    <w:uiPriority w:val="99"/>
    <w:qFormat/>
    <w:rPr>
      <w:rFonts w:ascii="Calibri" w:hAnsi="Calibri"/>
    </w:rPr>
    <w:tblPr>
      <w:tblCellMar>
        <w:left w:w="0" w:type="dxa"/>
        <w:top w:w="0" w:type="dxa"/>
        <w:right w:w="0" w:type="dxa"/>
        <w:bottom w:w="0" w:type="dxa"/>
      </w:tblCellMar>
    </w:tblPr>
  </w:style>
  <w:style w:type="table" w:styleId="1022" w:customStyle="1">
    <w:name w:val="List Table 3 - Accent 5"/>
    <w:uiPriority w:val="99"/>
    <w:qFormat/>
    <w:rPr>
      <w:rFonts w:ascii="Calibri" w:hAnsi="Calibri"/>
    </w:rPr>
    <w:tblPr>
      <w:tblCellMar>
        <w:left w:w="0" w:type="dxa"/>
        <w:top w:w="0" w:type="dxa"/>
        <w:right w:w="0" w:type="dxa"/>
        <w:bottom w:w="0" w:type="dxa"/>
      </w:tblCellMar>
    </w:tblPr>
  </w:style>
  <w:style w:type="table" w:styleId="1023" w:customStyle="1">
    <w:name w:val="List Table 3 - Accent 6"/>
    <w:uiPriority w:val="99"/>
    <w:qFormat/>
    <w:rPr>
      <w:rFonts w:ascii="Calibri" w:hAnsi="Calibri"/>
    </w:rPr>
    <w:tblPr>
      <w:tblCellMar>
        <w:left w:w="0" w:type="dxa"/>
        <w:top w:w="0" w:type="dxa"/>
        <w:right w:w="0" w:type="dxa"/>
        <w:bottom w:w="0" w:type="dxa"/>
      </w:tblCellMar>
    </w:tblPr>
  </w:style>
  <w:style w:type="table" w:styleId="1024" w:customStyle="1">
    <w:name w:val="清单表 41"/>
    <w:uiPriority w:val="99"/>
    <w:qFormat/>
    <w:rPr>
      <w:rFonts w:ascii="Calibri" w:hAnsi="Calibri"/>
    </w:rPr>
    <w:tblPr>
      <w:tblCellMar>
        <w:left w:w="0" w:type="dxa"/>
        <w:top w:w="0" w:type="dxa"/>
        <w:right w:w="0" w:type="dxa"/>
        <w:bottom w:w="0" w:type="dxa"/>
      </w:tblCellMar>
    </w:tblPr>
  </w:style>
  <w:style w:type="table" w:styleId="1025" w:customStyle="1">
    <w:name w:val="List Table 4 - Accent 1"/>
    <w:uiPriority w:val="99"/>
    <w:qFormat/>
    <w:rPr>
      <w:rFonts w:ascii="Calibri" w:hAnsi="Calibri"/>
    </w:rPr>
    <w:tblPr>
      <w:tblCellMar>
        <w:left w:w="0" w:type="dxa"/>
        <w:top w:w="0" w:type="dxa"/>
        <w:right w:w="0" w:type="dxa"/>
        <w:bottom w:w="0" w:type="dxa"/>
      </w:tblCellMar>
    </w:tblPr>
  </w:style>
  <w:style w:type="table" w:styleId="1026" w:customStyle="1">
    <w:name w:val="List Table 4 - Accent 2"/>
    <w:uiPriority w:val="99"/>
    <w:qFormat/>
    <w:rPr>
      <w:rFonts w:ascii="Calibri" w:hAnsi="Calibri"/>
    </w:rPr>
    <w:tblPr>
      <w:tblCellMar>
        <w:left w:w="0" w:type="dxa"/>
        <w:top w:w="0" w:type="dxa"/>
        <w:right w:w="0" w:type="dxa"/>
        <w:bottom w:w="0" w:type="dxa"/>
      </w:tblCellMar>
    </w:tblPr>
  </w:style>
  <w:style w:type="table" w:styleId="1027" w:customStyle="1">
    <w:name w:val="List Table 4 - Accent 3"/>
    <w:uiPriority w:val="99"/>
    <w:qFormat/>
    <w:rPr>
      <w:rFonts w:ascii="Calibri" w:hAnsi="Calibri"/>
    </w:rPr>
    <w:tblPr>
      <w:tblCellMar>
        <w:left w:w="0" w:type="dxa"/>
        <w:top w:w="0" w:type="dxa"/>
        <w:right w:w="0" w:type="dxa"/>
        <w:bottom w:w="0" w:type="dxa"/>
      </w:tblCellMar>
    </w:tblPr>
  </w:style>
  <w:style w:type="table" w:styleId="1028" w:customStyle="1">
    <w:name w:val="List Table 4 - Accent 4"/>
    <w:uiPriority w:val="99"/>
    <w:qFormat/>
    <w:rPr>
      <w:rFonts w:ascii="Calibri" w:hAnsi="Calibri"/>
    </w:rPr>
    <w:tblPr>
      <w:tblCellMar>
        <w:left w:w="0" w:type="dxa"/>
        <w:top w:w="0" w:type="dxa"/>
        <w:right w:w="0" w:type="dxa"/>
        <w:bottom w:w="0" w:type="dxa"/>
      </w:tblCellMar>
    </w:tblPr>
  </w:style>
  <w:style w:type="table" w:styleId="1029" w:customStyle="1">
    <w:name w:val="List Table 4 - Accent 5"/>
    <w:uiPriority w:val="99"/>
    <w:qFormat/>
    <w:rPr>
      <w:rFonts w:ascii="Calibri" w:hAnsi="Calibri"/>
    </w:rPr>
    <w:tblPr>
      <w:tblCellMar>
        <w:left w:w="0" w:type="dxa"/>
        <w:top w:w="0" w:type="dxa"/>
        <w:right w:w="0" w:type="dxa"/>
        <w:bottom w:w="0" w:type="dxa"/>
      </w:tblCellMar>
    </w:tblPr>
  </w:style>
  <w:style w:type="table" w:styleId="1030" w:customStyle="1">
    <w:name w:val="List Table 4 - Accent 6"/>
    <w:uiPriority w:val="99"/>
    <w:qFormat/>
    <w:rPr>
      <w:rFonts w:ascii="Calibri" w:hAnsi="Calibri"/>
    </w:rPr>
    <w:tblPr>
      <w:tblCellMar>
        <w:left w:w="0" w:type="dxa"/>
        <w:top w:w="0" w:type="dxa"/>
        <w:right w:w="0" w:type="dxa"/>
        <w:bottom w:w="0" w:type="dxa"/>
      </w:tblCellMar>
    </w:tblPr>
  </w:style>
  <w:style w:type="table" w:styleId="1031" w:customStyle="1">
    <w:name w:val="清单表 5 深色1"/>
    <w:uiPriority w:val="99"/>
    <w:qFormat/>
    <w:rPr>
      <w:rFonts w:ascii="Calibri" w:hAnsi="Calibri"/>
    </w:rPr>
    <w:tblPr>
      <w:tblCellMar>
        <w:left w:w="0" w:type="dxa"/>
        <w:top w:w="0" w:type="dxa"/>
        <w:right w:w="0" w:type="dxa"/>
        <w:bottom w:w="0" w:type="dxa"/>
      </w:tblCellMar>
    </w:tblPr>
  </w:style>
  <w:style w:type="table" w:styleId="1032" w:customStyle="1">
    <w:name w:val="List Table 5 Dark - Accent 1"/>
    <w:uiPriority w:val="99"/>
    <w:qFormat/>
    <w:rPr>
      <w:rFonts w:ascii="Calibri" w:hAnsi="Calibri"/>
    </w:rPr>
    <w:tblPr>
      <w:tblCellMar>
        <w:left w:w="0" w:type="dxa"/>
        <w:top w:w="0" w:type="dxa"/>
        <w:right w:w="0" w:type="dxa"/>
        <w:bottom w:w="0" w:type="dxa"/>
      </w:tblCellMar>
    </w:tblPr>
  </w:style>
  <w:style w:type="table" w:styleId="1033" w:customStyle="1">
    <w:name w:val="List Table 5 Dark - Accent 2"/>
    <w:uiPriority w:val="99"/>
    <w:qFormat/>
    <w:rPr>
      <w:rFonts w:ascii="Calibri" w:hAnsi="Calibri"/>
    </w:rPr>
    <w:tblPr>
      <w:tblCellMar>
        <w:left w:w="0" w:type="dxa"/>
        <w:top w:w="0" w:type="dxa"/>
        <w:right w:w="0" w:type="dxa"/>
        <w:bottom w:w="0" w:type="dxa"/>
      </w:tblCellMar>
    </w:tblPr>
  </w:style>
  <w:style w:type="table" w:styleId="1034" w:customStyle="1">
    <w:name w:val="List Table 5 Dark - Accent 3"/>
    <w:uiPriority w:val="99"/>
    <w:qFormat/>
    <w:rPr>
      <w:rFonts w:ascii="Calibri" w:hAnsi="Calibri"/>
    </w:rPr>
    <w:tblPr>
      <w:tblCellMar>
        <w:left w:w="0" w:type="dxa"/>
        <w:top w:w="0" w:type="dxa"/>
        <w:right w:w="0" w:type="dxa"/>
        <w:bottom w:w="0" w:type="dxa"/>
      </w:tblCellMar>
    </w:tblPr>
  </w:style>
  <w:style w:type="table" w:styleId="1035" w:customStyle="1">
    <w:name w:val="List Table 5 Dark - Accent 4"/>
    <w:uiPriority w:val="99"/>
    <w:qFormat/>
    <w:rPr>
      <w:rFonts w:ascii="Calibri" w:hAnsi="Calibri"/>
    </w:rPr>
    <w:tblPr>
      <w:tblCellMar>
        <w:left w:w="0" w:type="dxa"/>
        <w:top w:w="0" w:type="dxa"/>
        <w:right w:w="0" w:type="dxa"/>
        <w:bottom w:w="0" w:type="dxa"/>
      </w:tblCellMar>
    </w:tblPr>
  </w:style>
  <w:style w:type="table" w:styleId="1036" w:customStyle="1">
    <w:name w:val="List Table 5 Dark - Accent 5"/>
    <w:uiPriority w:val="99"/>
    <w:qFormat/>
    <w:rPr>
      <w:rFonts w:ascii="Calibri" w:hAnsi="Calibri"/>
    </w:rPr>
    <w:tblPr>
      <w:tblCellMar>
        <w:left w:w="0" w:type="dxa"/>
        <w:top w:w="0" w:type="dxa"/>
        <w:right w:w="0" w:type="dxa"/>
        <w:bottom w:w="0" w:type="dxa"/>
      </w:tblCellMar>
    </w:tblPr>
  </w:style>
  <w:style w:type="table" w:styleId="1037" w:customStyle="1">
    <w:name w:val="List Table 5 Dark - Accent 6"/>
    <w:uiPriority w:val="99"/>
    <w:qFormat/>
    <w:rPr>
      <w:rFonts w:ascii="Calibri" w:hAnsi="Calibri"/>
    </w:rPr>
    <w:tblPr>
      <w:tblCellMar>
        <w:left w:w="0" w:type="dxa"/>
        <w:top w:w="0" w:type="dxa"/>
        <w:right w:w="0" w:type="dxa"/>
        <w:bottom w:w="0" w:type="dxa"/>
      </w:tblCellMar>
    </w:tblPr>
  </w:style>
  <w:style w:type="table" w:styleId="1038" w:customStyle="1">
    <w:name w:val="清单表 6 彩色1"/>
    <w:uiPriority w:val="99"/>
    <w:qFormat/>
    <w:rPr>
      <w:rFonts w:ascii="Calibri" w:hAnsi="Calibri"/>
    </w:rPr>
    <w:tblPr>
      <w:tblCellMar>
        <w:left w:w="0" w:type="dxa"/>
        <w:top w:w="0" w:type="dxa"/>
        <w:right w:w="0" w:type="dxa"/>
        <w:bottom w:w="0" w:type="dxa"/>
      </w:tblCellMar>
    </w:tblPr>
  </w:style>
  <w:style w:type="table" w:styleId="1039"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40"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41"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42"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43"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44"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45" w:customStyle="1">
    <w:name w:val="清单表 7 彩色1"/>
    <w:uiPriority w:val="99"/>
    <w:qFormat/>
    <w:rPr>
      <w:rFonts w:ascii="Calibri" w:hAnsi="Calibri"/>
    </w:rPr>
    <w:tblPr>
      <w:tblCellMar>
        <w:left w:w="0" w:type="dxa"/>
        <w:top w:w="0" w:type="dxa"/>
        <w:right w:w="0" w:type="dxa"/>
        <w:bottom w:w="0" w:type="dxa"/>
      </w:tblCellMar>
    </w:tblPr>
  </w:style>
  <w:style w:type="table" w:styleId="1046"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47"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48"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49"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50"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51"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52"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53"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54"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55"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56"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57"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58"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59"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60"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61"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62"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63"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64"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65"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66" w:customStyle="1">
    <w:name w:val="Bordered"/>
    <w:uiPriority w:val="99"/>
    <w:qFormat/>
    <w:rPr>
      <w:rFonts w:ascii="Calibri" w:hAnsi="Calibri"/>
    </w:rPr>
    <w:tblPr>
      <w:tblCellMar>
        <w:left w:w="0" w:type="dxa"/>
        <w:top w:w="0" w:type="dxa"/>
        <w:right w:w="0" w:type="dxa"/>
        <w:bottom w:w="0" w:type="dxa"/>
      </w:tblCellMar>
    </w:tblPr>
  </w:style>
  <w:style w:type="table" w:styleId="1067" w:customStyle="1">
    <w:name w:val="Bordered - Accent 1"/>
    <w:uiPriority w:val="99"/>
    <w:qFormat/>
    <w:rPr>
      <w:rFonts w:ascii="Calibri" w:hAnsi="Calibri"/>
    </w:rPr>
    <w:tblPr>
      <w:tblCellMar>
        <w:left w:w="0" w:type="dxa"/>
        <w:top w:w="0" w:type="dxa"/>
        <w:right w:w="0" w:type="dxa"/>
        <w:bottom w:w="0" w:type="dxa"/>
      </w:tblCellMar>
    </w:tblPr>
  </w:style>
  <w:style w:type="table" w:styleId="1068" w:customStyle="1">
    <w:name w:val="Bordered - Accent 2"/>
    <w:uiPriority w:val="99"/>
    <w:qFormat/>
    <w:rPr>
      <w:rFonts w:ascii="Calibri" w:hAnsi="Calibri"/>
    </w:rPr>
    <w:tblPr>
      <w:tblCellMar>
        <w:left w:w="0" w:type="dxa"/>
        <w:top w:w="0" w:type="dxa"/>
        <w:right w:w="0" w:type="dxa"/>
        <w:bottom w:w="0" w:type="dxa"/>
      </w:tblCellMar>
    </w:tblPr>
  </w:style>
  <w:style w:type="table" w:styleId="1069" w:customStyle="1">
    <w:name w:val="Bordered - Accent 3"/>
    <w:uiPriority w:val="99"/>
    <w:qFormat/>
    <w:rPr>
      <w:rFonts w:ascii="Calibri" w:hAnsi="Calibri"/>
    </w:rPr>
    <w:tblPr>
      <w:tblCellMar>
        <w:left w:w="0" w:type="dxa"/>
        <w:top w:w="0" w:type="dxa"/>
        <w:right w:w="0" w:type="dxa"/>
        <w:bottom w:w="0" w:type="dxa"/>
      </w:tblCellMar>
    </w:tblPr>
  </w:style>
  <w:style w:type="table" w:styleId="1070" w:customStyle="1">
    <w:name w:val="Bordered - Accent 4"/>
    <w:uiPriority w:val="99"/>
    <w:qFormat/>
    <w:rPr>
      <w:rFonts w:ascii="Calibri" w:hAnsi="Calibri"/>
    </w:rPr>
    <w:tblPr>
      <w:tblCellMar>
        <w:left w:w="0" w:type="dxa"/>
        <w:top w:w="0" w:type="dxa"/>
        <w:right w:w="0" w:type="dxa"/>
        <w:bottom w:w="0" w:type="dxa"/>
      </w:tblCellMar>
    </w:tblPr>
  </w:style>
  <w:style w:type="table" w:styleId="1071" w:customStyle="1">
    <w:name w:val="Bordered - Accent 5"/>
    <w:uiPriority w:val="99"/>
    <w:qFormat/>
    <w:rPr>
      <w:rFonts w:ascii="Calibri" w:hAnsi="Calibri"/>
    </w:rPr>
    <w:tblPr>
      <w:tblCellMar>
        <w:left w:w="0" w:type="dxa"/>
        <w:top w:w="0" w:type="dxa"/>
        <w:right w:w="0" w:type="dxa"/>
        <w:bottom w:w="0" w:type="dxa"/>
      </w:tblCellMar>
    </w:tblPr>
  </w:style>
  <w:style w:type="table" w:styleId="1072" w:customStyle="1">
    <w:name w:val="Bordered - Accent 6"/>
    <w:uiPriority w:val="99"/>
    <w:qFormat/>
    <w:rPr>
      <w:rFonts w:ascii="Calibri" w:hAnsi="Calibri"/>
    </w:rPr>
    <w:tblPr>
      <w:tblCellMar>
        <w:left w:w="0" w:type="dxa"/>
        <w:top w:w="0" w:type="dxa"/>
        <w:right w:w="0" w:type="dxa"/>
        <w:bottom w:w="0" w:type="dxa"/>
      </w:tblCellMar>
    </w:tblPr>
  </w:style>
  <w:style w:type="paragraph" w:styleId="1073" w:customStyle="1">
    <w:name w:val="TOC 标题11"/>
    <w:uiPriority w:val="39"/>
    <w:unhideWhenUsed/>
    <w:qFormat/>
    <w:rPr>
      <w:rFonts w:ascii="Calibri" w:hAnsi="Calibri" w:eastAsia="宋体" w:cs="Times New Roman"/>
      <w:lang w:val="en-US" w:eastAsia="zh-CN" w:bidi="ar-SA"/>
    </w:rPr>
  </w:style>
  <w:style w:type="paragraph" w:styleId="1074" w:customStyle="1">
    <w:name w:val="标题 11"/>
    <w:basedOn w:val="712"/>
    <w:next w:val="712"/>
    <w:link w:val="1075"/>
    <w:uiPriority w:val="0"/>
    <w:qFormat/>
    <w:pPr>
      <w:jc w:val="center"/>
      <w:keepNext/>
      <w:outlineLvl w:val="0"/>
    </w:pPr>
    <w:rPr>
      <w:rFonts w:ascii="楷体_GB2312" w:hAnsi="Times New Roman" w:eastAsia="楷体_GB2312"/>
      <w:sz w:val="28"/>
      <w:szCs w:val="28"/>
      <w:lang w:eastAsia="en-US"/>
    </w:rPr>
  </w:style>
  <w:style w:type="character" w:styleId="1075" w:customStyle="1">
    <w:name w:val="标题 1 Char"/>
    <w:link w:val="1074"/>
    <w:uiPriority w:val="0"/>
    <w:qFormat/>
    <w:rPr>
      <w:rFonts w:ascii="楷体_GB2312" w:hAnsi="Times New Roman" w:eastAsia="楷体_GB2312" w:cs="Times New Roman"/>
      <w:sz w:val="28"/>
      <w:szCs w:val="28"/>
      <w:lang w:eastAsia="en-US"/>
    </w:rPr>
  </w:style>
  <w:style w:type="paragraph" w:styleId="1076" w:customStyle="1">
    <w:name w:val="标题 21"/>
    <w:basedOn w:val="712"/>
    <w:next w:val="1077"/>
    <w:link w:val="107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77" w:customStyle="1">
    <w:name w:val="正文缩进1"/>
    <w:basedOn w:val="712"/>
    <w:link w:val="1079"/>
    <w:uiPriority w:val="0"/>
    <w:qFormat/>
    <w:pPr>
      <w:ind w:firstLine="420"/>
    </w:pPr>
    <w:rPr>
      <w:rFonts w:ascii="Times New Roman" w:hAnsi="Times New Roman" w:eastAsia="宋体"/>
      <w:sz w:val="20"/>
      <w:szCs w:val="21"/>
      <w:lang w:eastAsia="en-US"/>
    </w:rPr>
  </w:style>
  <w:style w:type="character" w:styleId="1078" w:customStyle="1">
    <w:name w:val="标题 2 Char"/>
    <w:link w:val="1076"/>
    <w:uiPriority w:val="0"/>
    <w:qFormat/>
    <w:rPr>
      <w:rFonts w:ascii="Arial" w:hAnsi="Arial" w:eastAsia="幼圆" w:cs="Times New Roman"/>
      <w:b/>
      <w:bCs/>
      <w:sz w:val="44"/>
      <w:szCs w:val="44"/>
      <w:lang w:eastAsia="en-US"/>
    </w:rPr>
  </w:style>
  <w:style w:type="character" w:styleId="1079" w:customStyle="1">
    <w:name w:val="正文缩进 Char"/>
    <w:link w:val="1077"/>
    <w:uiPriority w:val="0"/>
    <w:qFormat/>
    <w:rPr>
      <w:rFonts w:ascii="Times New Roman" w:hAnsi="Times New Roman" w:eastAsia="宋体" w:cs="Times New Roman"/>
      <w:szCs w:val="21"/>
      <w:lang w:eastAsia="en-US"/>
    </w:rPr>
  </w:style>
  <w:style w:type="paragraph" w:styleId="1080" w:customStyle="1">
    <w:name w:val="标题 41"/>
    <w:basedOn w:val="712"/>
    <w:next w:val="1077"/>
    <w:link w:val="1081"/>
    <w:uiPriority w:val="0"/>
    <w:qFormat/>
    <w:pPr>
      <w:keepLines/>
      <w:keepNext/>
      <w:spacing w:before="280" w:after="290" w:line="376" w:lineRule="auto"/>
      <w:outlineLvl w:val="3"/>
    </w:pPr>
    <w:rPr>
      <w:rFonts w:ascii="Arial" w:hAnsi="Arial" w:eastAsia="黑体"/>
      <w:b/>
      <w:bCs/>
      <w:sz w:val="28"/>
      <w:szCs w:val="28"/>
      <w:lang w:eastAsia="en-US"/>
    </w:rPr>
  </w:style>
  <w:style w:type="character" w:styleId="1081" w:customStyle="1">
    <w:name w:val="标题 4 Char"/>
    <w:link w:val="1080"/>
    <w:uiPriority w:val="0"/>
    <w:qFormat/>
    <w:rPr>
      <w:rFonts w:ascii="Arial" w:hAnsi="Arial" w:eastAsia="黑体" w:cs="Times New Roman"/>
      <w:b/>
      <w:bCs/>
      <w:sz w:val="28"/>
      <w:szCs w:val="28"/>
      <w:lang w:eastAsia="en-US"/>
    </w:rPr>
  </w:style>
  <w:style w:type="paragraph" w:styleId="1082" w:customStyle="1">
    <w:name w:val="标题 51"/>
    <w:basedOn w:val="712"/>
    <w:next w:val="1077"/>
    <w:link w:val="1083"/>
    <w:uiPriority w:val="0"/>
    <w:qFormat/>
    <w:pPr>
      <w:keepNext/>
      <w:outlineLvl w:val="4"/>
    </w:pPr>
    <w:rPr>
      <w:rFonts w:ascii="宋体" w:hAnsi="Times New Roman" w:eastAsia="宋体"/>
      <w:color w:val="000000"/>
      <w:sz w:val="28"/>
      <w:szCs w:val="28"/>
      <w:lang w:eastAsia="en-US"/>
    </w:rPr>
  </w:style>
  <w:style w:type="character" w:styleId="1083" w:customStyle="1">
    <w:name w:val="标题 5 Char"/>
    <w:link w:val="1082"/>
    <w:uiPriority w:val="0"/>
    <w:qFormat/>
    <w:rPr>
      <w:rFonts w:ascii="宋体" w:hAnsi="Times New Roman" w:eastAsia="宋体" w:cs="Times New Roman"/>
      <w:color w:val="000000"/>
      <w:sz w:val="28"/>
      <w:szCs w:val="28"/>
      <w:lang w:eastAsia="en-US"/>
    </w:rPr>
  </w:style>
  <w:style w:type="paragraph" w:styleId="1084" w:customStyle="1">
    <w:name w:val="标题 61"/>
    <w:basedOn w:val="712"/>
    <w:next w:val="712"/>
    <w:link w:val="1085"/>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085" w:customStyle="1">
    <w:name w:val="标题 6 Char"/>
    <w:link w:val="1084"/>
    <w:uiPriority w:val="0"/>
    <w:qFormat/>
    <w:rPr>
      <w:rFonts w:ascii="Arial" w:hAnsi="Arial" w:eastAsia="黑体" w:cs="Times New Roman"/>
      <w:b/>
      <w:bCs/>
      <w:sz w:val="24"/>
      <w:szCs w:val="24"/>
      <w:lang w:eastAsia="en-US"/>
    </w:rPr>
  </w:style>
  <w:style w:type="paragraph" w:styleId="1086" w:customStyle="1">
    <w:name w:val="标题 71"/>
    <w:basedOn w:val="712"/>
    <w:next w:val="712"/>
    <w:link w:val="1087"/>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087" w:customStyle="1">
    <w:name w:val="标题 7 Char"/>
    <w:link w:val="1086"/>
    <w:uiPriority w:val="0"/>
    <w:qFormat/>
    <w:rPr>
      <w:rFonts w:ascii="Times New Roman" w:hAnsi="Times New Roman" w:eastAsia="宋体" w:cs="Times New Roman"/>
      <w:b/>
      <w:bCs/>
      <w:sz w:val="24"/>
      <w:szCs w:val="24"/>
      <w:lang w:eastAsia="en-US"/>
    </w:rPr>
  </w:style>
  <w:style w:type="paragraph" w:styleId="1088" w:customStyle="1">
    <w:name w:val="标题 81"/>
    <w:basedOn w:val="712"/>
    <w:next w:val="712"/>
    <w:link w:val="1089"/>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089" w:customStyle="1">
    <w:name w:val="标题 8 Char"/>
    <w:link w:val="1088"/>
    <w:uiPriority w:val="0"/>
    <w:qFormat/>
    <w:rPr>
      <w:rFonts w:ascii="Arial" w:hAnsi="Arial" w:eastAsia="黑体" w:cs="Times New Roman"/>
      <w:sz w:val="24"/>
      <w:szCs w:val="24"/>
      <w:lang w:eastAsia="en-US"/>
    </w:rPr>
  </w:style>
  <w:style w:type="paragraph" w:styleId="1090" w:customStyle="1">
    <w:name w:val="标题 91"/>
    <w:basedOn w:val="712"/>
    <w:next w:val="712"/>
    <w:link w:val="1091"/>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091" w:customStyle="1">
    <w:name w:val="标题 9 Char"/>
    <w:link w:val="1090"/>
    <w:uiPriority w:val="0"/>
    <w:qFormat/>
    <w:rPr>
      <w:rFonts w:ascii="Arial" w:hAnsi="Arial" w:eastAsia="黑体" w:cs="Times New Roman"/>
      <w:szCs w:val="21"/>
      <w:lang w:eastAsia="en-US"/>
    </w:rPr>
  </w:style>
  <w:style w:type="character" w:styleId="1092" w:customStyle="1">
    <w:name w:val="默认段落字体1"/>
    <w:uiPriority w:val="1"/>
    <w:unhideWhenUsed/>
    <w:qFormat/>
  </w:style>
  <w:style w:type="table" w:styleId="1093"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094" w:customStyle="1">
    <w:name w:val="列表 31"/>
    <w:basedOn w:val="712"/>
    <w:uiPriority w:val="0"/>
    <w:qFormat/>
    <w:pPr>
      <w:ind w:left="100" w:hanging="200"/>
    </w:pPr>
    <w:rPr>
      <w:rFonts w:ascii="Times New Roman" w:hAnsi="Times New Roman" w:eastAsia="宋体"/>
      <w:szCs w:val="21"/>
    </w:rPr>
  </w:style>
  <w:style w:type="paragraph" w:styleId="1095" w:customStyle="1">
    <w:name w:val="目录 711"/>
    <w:basedOn w:val="712"/>
    <w:next w:val="712"/>
    <w:uiPriority w:val="0"/>
    <w:semiHidden/>
    <w:qFormat/>
    <w:pPr>
      <w:ind w:left="1260"/>
      <w:jc w:val="left"/>
    </w:pPr>
    <w:rPr>
      <w:rFonts w:ascii="Times New Roman" w:hAnsi="Times New Roman" w:eastAsia="宋体"/>
      <w:szCs w:val="21"/>
    </w:rPr>
  </w:style>
  <w:style w:type="paragraph" w:styleId="1096" w:customStyle="1">
    <w:name w:val="文档结构图1"/>
    <w:basedOn w:val="712"/>
    <w:link w:val="1097"/>
    <w:uiPriority w:val="0"/>
    <w:semiHidden/>
    <w:qFormat/>
    <w:pPr>
      <w:shd w:val="clear" w:color="auto" w:fill="000080"/>
    </w:pPr>
    <w:rPr>
      <w:rFonts w:ascii="Times New Roman" w:hAnsi="Times New Roman" w:eastAsia="宋体"/>
      <w:sz w:val="20"/>
      <w:szCs w:val="21"/>
      <w:lang w:eastAsia="en-US"/>
    </w:rPr>
  </w:style>
  <w:style w:type="character" w:styleId="1097" w:customStyle="1">
    <w:name w:val="文档结构图 Char"/>
    <w:link w:val="1096"/>
    <w:uiPriority w:val="0"/>
    <w:semiHidden/>
    <w:qFormat/>
    <w:rPr>
      <w:rFonts w:ascii="Times New Roman" w:hAnsi="Times New Roman" w:eastAsia="宋体" w:cs="Times New Roman"/>
      <w:szCs w:val="21"/>
      <w:shd w:val="clear" w:color="auto" w:fill="000080"/>
      <w:lang w:eastAsia="en-US"/>
    </w:rPr>
  </w:style>
  <w:style w:type="paragraph" w:styleId="1098" w:customStyle="1">
    <w:name w:val="批注文字1"/>
    <w:basedOn w:val="712"/>
    <w:link w:val="1099"/>
    <w:uiPriority w:val="0"/>
    <w:semiHidden/>
    <w:qFormat/>
    <w:pPr>
      <w:jc w:val="left"/>
    </w:pPr>
    <w:rPr>
      <w:rFonts w:ascii="Times New Roman" w:hAnsi="Times New Roman" w:eastAsia="宋体"/>
      <w:sz w:val="20"/>
      <w:szCs w:val="21"/>
      <w:lang w:eastAsia="en-US"/>
    </w:rPr>
  </w:style>
  <w:style w:type="character" w:styleId="1099" w:customStyle="1">
    <w:name w:val="批注文字 Char"/>
    <w:link w:val="1098"/>
    <w:uiPriority w:val="0"/>
    <w:semiHidden/>
    <w:qFormat/>
    <w:rPr>
      <w:rFonts w:ascii="Times New Roman" w:hAnsi="Times New Roman" w:eastAsia="宋体" w:cs="Times New Roman"/>
      <w:szCs w:val="21"/>
      <w:lang w:eastAsia="en-US"/>
    </w:rPr>
  </w:style>
  <w:style w:type="paragraph" w:styleId="1100" w:customStyle="1">
    <w:name w:val="正文文本 31"/>
    <w:basedOn w:val="712"/>
    <w:link w:val="1101"/>
    <w:uiPriority w:val="0"/>
    <w:qFormat/>
    <w:rPr>
      <w:rFonts w:ascii="仿宋_GB2312" w:hAnsi="Arial" w:eastAsia="仿宋_GB2312"/>
      <w:sz w:val="32"/>
      <w:szCs w:val="32"/>
      <w:lang w:eastAsia="en-US"/>
    </w:rPr>
  </w:style>
  <w:style w:type="character" w:styleId="1101" w:customStyle="1">
    <w:name w:val="正文文本 3 Char"/>
    <w:link w:val="1100"/>
    <w:uiPriority w:val="0"/>
    <w:qFormat/>
    <w:rPr>
      <w:rFonts w:ascii="仿宋_GB2312" w:hAnsi="Arial" w:eastAsia="仿宋_GB2312" w:cs="Times New Roman"/>
      <w:sz w:val="32"/>
      <w:szCs w:val="32"/>
      <w:lang w:eastAsia="en-US"/>
    </w:rPr>
  </w:style>
  <w:style w:type="paragraph" w:styleId="1102" w:customStyle="1">
    <w:name w:val="正文文本1"/>
    <w:basedOn w:val="712"/>
    <w:link w:val="1103"/>
    <w:uiPriority w:val="0"/>
    <w:qFormat/>
    <w:rPr>
      <w:rFonts w:ascii="楷体_GB2312" w:hAnsi="Arial" w:eastAsia="楷体_GB2312"/>
      <w:sz w:val="28"/>
      <w:szCs w:val="28"/>
      <w:lang w:eastAsia="en-US"/>
    </w:rPr>
  </w:style>
  <w:style w:type="character" w:styleId="1103" w:customStyle="1">
    <w:name w:val="正文文本 Char"/>
    <w:link w:val="1102"/>
    <w:uiPriority w:val="0"/>
    <w:qFormat/>
    <w:rPr>
      <w:rFonts w:ascii="楷体_GB2312" w:hAnsi="Arial" w:eastAsia="楷体_GB2312" w:cs="Times New Roman"/>
      <w:sz w:val="28"/>
      <w:szCs w:val="28"/>
      <w:lang w:eastAsia="en-US"/>
    </w:rPr>
  </w:style>
  <w:style w:type="paragraph" w:styleId="1104" w:customStyle="1">
    <w:name w:val="正文文本缩进1"/>
    <w:basedOn w:val="712"/>
    <w:next w:val="1105"/>
    <w:link w:val="1106"/>
    <w:uiPriority w:val="0"/>
    <w:qFormat/>
    <w:pPr>
      <w:ind w:firstLine="645"/>
    </w:pPr>
    <w:rPr>
      <w:rFonts w:ascii="楷体_GB2312" w:hAnsi="Times New Roman" w:eastAsia="楷体_GB2312"/>
      <w:sz w:val="32"/>
      <w:szCs w:val="32"/>
      <w:lang w:eastAsia="en-US"/>
    </w:rPr>
  </w:style>
  <w:style w:type="paragraph" w:styleId="1105" w:customStyle="1">
    <w:name w:val="寄信人地址1"/>
    <w:basedOn w:val="712"/>
    <w:uiPriority w:val="99"/>
    <w:unhideWhenUsed/>
    <w:qFormat/>
    <w:rPr>
      <w:rFonts w:ascii="Arial" w:hAnsi="Arial"/>
    </w:rPr>
  </w:style>
  <w:style w:type="character" w:styleId="1106" w:customStyle="1">
    <w:name w:val="正文文本缩进 Char"/>
    <w:link w:val="1104"/>
    <w:uiPriority w:val="0"/>
    <w:qFormat/>
    <w:rPr>
      <w:rFonts w:ascii="楷体_GB2312" w:hAnsi="Times New Roman" w:eastAsia="楷体_GB2312" w:cs="Times New Roman"/>
      <w:sz w:val="32"/>
      <w:szCs w:val="32"/>
      <w:lang w:eastAsia="en-US"/>
    </w:rPr>
  </w:style>
  <w:style w:type="paragraph" w:styleId="1107" w:customStyle="1">
    <w:name w:val="列表 21"/>
    <w:basedOn w:val="712"/>
    <w:uiPriority w:val="0"/>
    <w:qFormat/>
    <w:pPr>
      <w:ind w:left="100" w:hanging="200"/>
    </w:pPr>
    <w:rPr>
      <w:rFonts w:ascii="Times New Roman" w:hAnsi="Times New Roman" w:eastAsia="宋体"/>
      <w:szCs w:val="21"/>
    </w:rPr>
  </w:style>
  <w:style w:type="paragraph" w:styleId="1108" w:customStyle="1">
    <w:name w:val="目录 511"/>
    <w:basedOn w:val="712"/>
    <w:next w:val="712"/>
    <w:uiPriority w:val="0"/>
    <w:semiHidden/>
    <w:qFormat/>
    <w:pPr>
      <w:ind w:left="840"/>
      <w:jc w:val="left"/>
    </w:pPr>
    <w:rPr>
      <w:rFonts w:ascii="Times New Roman" w:hAnsi="Times New Roman" w:eastAsia="宋体"/>
      <w:szCs w:val="21"/>
    </w:rPr>
  </w:style>
  <w:style w:type="paragraph" w:styleId="1109" w:customStyle="1">
    <w:name w:val="目录 311"/>
    <w:basedOn w:val="712"/>
    <w:next w:val="712"/>
    <w:uiPriority w:val="0"/>
    <w:semiHidden/>
    <w:qFormat/>
    <w:pPr>
      <w:ind w:left="420"/>
      <w:jc w:val="left"/>
    </w:pPr>
    <w:rPr>
      <w:rFonts w:ascii="Times New Roman" w:hAnsi="Times New Roman" w:eastAsia="宋体"/>
      <w:i/>
      <w:iCs/>
      <w:szCs w:val="24"/>
    </w:rPr>
  </w:style>
  <w:style w:type="paragraph" w:styleId="1110" w:customStyle="1">
    <w:name w:val="纯文本1"/>
    <w:basedOn w:val="712"/>
    <w:link w:val="1111"/>
    <w:uiPriority w:val="0"/>
    <w:qFormat/>
    <w:rPr>
      <w:rFonts w:ascii="宋体" w:hAnsi="Courier New" w:eastAsia="宋体"/>
      <w:sz w:val="20"/>
      <w:szCs w:val="21"/>
      <w:lang w:eastAsia="en-US"/>
    </w:rPr>
  </w:style>
  <w:style w:type="character" w:styleId="1111" w:customStyle="1">
    <w:name w:val="纯文本 Char"/>
    <w:link w:val="1110"/>
    <w:uiPriority w:val="0"/>
    <w:qFormat/>
    <w:rPr>
      <w:rFonts w:ascii="宋体" w:hAnsi="Courier New" w:eastAsia="宋体" w:cs="Times New Roman"/>
      <w:szCs w:val="21"/>
      <w:lang w:eastAsia="en-US"/>
    </w:rPr>
  </w:style>
  <w:style w:type="paragraph" w:styleId="1112" w:customStyle="1">
    <w:name w:val="目录 811"/>
    <w:basedOn w:val="712"/>
    <w:next w:val="712"/>
    <w:uiPriority w:val="0"/>
    <w:semiHidden/>
    <w:qFormat/>
    <w:pPr>
      <w:ind w:left="1470"/>
      <w:jc w:val="left"/>
    </w:pPr>
    <w:rPr>
      <w:rFonts w:ascii="Times New Roman" w:hAnsi="Times New Roman" w:eastAsia="宋体"/>
      <w:szCs w:val="21"/>
    </w:rPr>
  </w:style>
  <w:style w:type="paragraph" w:styleId="1113" w:customStyle="1">
    <w:name w:val="日期1"/>
    <w:basedOn w:val="712"/>
    <w:next w:val="712"/>
    <w:link w:val="1114"/>
    <w:uiPriority w:val="0"/>
    <w:qFormat/>
    <w:rPr>
      <w:rFonts w:ascii="Times New Roman" w:hAnsi="Times New Roman" w:eastAsia="宋体"/>
      <w:sz w:val="24"/>
      <w:szCs w:val="24"/>
      <w:lang w:eastAsia="en-US"/>
    </w:rPr>
  </w:style>
  <w:style w:type="character" w:styleId="1114" w:customStyle="1">
    <w:name w:val="日期 Char"/>
    <w:link w:val="1113"/>
    <w:uiPriority w:val="0"/>
    <w:qFormat/>
    <w:rPr>
      <w:rFonts w:ascii="Times New Roman" w:hAnsi="Times New Roman" w:eastAsia="宋体" w:cs="Times New Roman"/>
      <w:sz w:val="24"/>
      <w:szCs w:val="24"/>
      <w:lang w:eastAsia="en-US"/>
    </w:rPr>
  </w:style>
  <w:style w:type="paragraph" w:styleId="1115" w:customStyle="1">
    <w:name w:val="正文文本缩进 21"/>
    <w:basedOn w:val="712"/>
    <w:link w:val="1116"/>
    <w:uiPriority w:val="0"/>
    <w:qFormat/>
    <w:pPr>
      <w:ind w:left="630" w:firstLine="645"/>
    </w:pPr>
    <w:rPr>
      <w:rFonts w:ascii="Arial" w:hAnsi="Arial" w:eastAsia="仿宋_GB2312"/>
      <w:sz w:val="32"/>
      <w:szCs w:val="32"/>
      <w:lang w:eastAsia="en-US"/>
    </w:rPr>
  </w:style>
  <w:style w:type="character" w:styleId="1116" w:customStyle="1">
    <w:name w:val="正文文本缩进 2 Char"/>
    <w:link w:val="1115"/>
    <w:uiPriority w:val="0"/>
    <w:qFormat/>
    <w:rPr>
      <w:rFonts w:ascii="Arial" w:hAnsi="Arial" w:eastAsia="仿宋_GB2312" w:cs="Times New Roman"/>
      <w:sz w:val="32"/>
      <w:szCs w:val="32"/>
      <w:lang w:eastAsia="en-US"/>
    </w:rPr>
  </w:style>
  <w:style w:type="paragraph" w:styleId="1117" w:customStyle="1">
    <w:name w:val="批注框文本1"/>
    <w:basedOn w:val="712"/>
    <w:link w:val="1118"/>
    <w:uiPriority w:val="0"/>
    <w:semiHidden/>
    <w:qFormat/>
    <w:rPr>
      <w:rFonts w:ascii="Times New Roman" w:hAnsi="Times New Roman" w:eastAsia="宋体"/>
      <w:sz w:val="18"/>
      <w:szCs w:val="18"/>
      <w:lang w:eastAsia="en-US"/>
    </w:rPr>
  </w:style>
  <w:style w:type="character" w:styleId="1118" w:customStyle="1">
    <w:name w:val="批注框文本 Char"/>
    <w:link w:val="1117"/>
    <w:uiPriority w:val="0"/>
    <w:semiHidden/>
    <w:qFormat/>
    <w:rPr>
      <w:rFonts w:ascii="Times New Roman" w:hAnsi="Times New Roman" w:eastAsia="宋体" w:cs="Times New Roman"/>
      <w:sz w:val="18"/>
      <w:szCs w:val="18"/>
      <w:lang w:eastAsia="en-US"/>
    </w:rPr>
  </w:style>
  <w:style w:type="paragraph" w:styleId="1119" w:customStyle="1">
    <w:name w:val="页脚1"/>
    <w:basedOn w:val="712"/>
    <w:link w:val="1120"/>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20" w:customStyle="1">
    <w:name w:val="页脚 Char"/>
    <w:link w:val="1119"/>
    <w:uiPriority w:val="0"/>
    <w:qFormat/>
    <w:rPr>
      <w:rFonts w:ascii="Times New Roman" w:hAnsi="Times New Roman" w:eastAsia="宋体" w:cs="Times New Roman"/>
      <w:sz w:val="18"/>
      <w:szCs w:val="18"/>
      <w:lang w:eastAsia="en-US"/>
    </w:rPr>
  </w:style>
  <w:style w:type="paragraph" w:styleId="1121" w:customStyle="1">
    <w:name w:val="页眉1"/>
    <w:basedOn w:val="712"/>
    <w:link w:val="1122"/>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22" w:customStyle="1">
    <w:name w:val="页眉 Char"/>
    <w:link w:val="1121"/>
    <w:uiPriority w:val="99"/>
    <w:qFormat/>
    <w:rPr>
      <w:rFonts w:ascii="Times New Roman" w:hAnsi="Times New Roman" w:eastAsia="宋体" w:cs="Times New Roman"/>
      <w:sz w:val="18"/>
      <w:szCs w:val="18"/>
      <w:lang w:eastAsia="en-US"/>
    </w:rPr>
  </w:style>
  <w:style w:type="paragraph" w:styleId="1123" w:customStyle="1">
    <w:name w:val="目录 1111"/>
    <w:basedOn w:val="712"/>
    <w:next w:val="712"/>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24" w:customStyle="1">
    <w:name w:val="目录 411"/>
    <w:basedOn w:val="712"/>
    <w:next w:val="712"/>
    <w:uiPriority w:val="0"/>
    <w:semiHidden/>
    <w:qFormat/>
    <w:pPr>
      <w:ind w:left="630"/>
      <w:jc w:val="left"/>
    </w:pPr>
    <w:rPr>
      <w:rFonts w:ascii="Times New Roman" w:hAnsi="Times New Roman" w:eastAsia="宋体"/>
      <w:szCs w:val="21"/>
    </w:rPr>
  </w:style>
  <w:style w:type="paragraph" w:styleId="1125" w:customStyle="1">
    <w:name w:val="列表1"/>
    <w:basedOn w:val="712"/>
    <w:uiPriority w:val="0"/>
    <w:qFormat/>
    <w:pPr>
      <w:ind w:left="200" w:hanging="200"/>
    </w:pPr>
    <w:rPr>
      <w:rFonts w:ascii="Times New Roman" w:hAnsi="Times New Roman" w:eastAsia="宋体"/>
      <w:szCs w:val="21"/>
    </w:rPr>
  </w:style>
  <w:style w:type="paragraph" w:styleId="1126" w:customStyle="1">
    <w:name w:val="目录 611"/>
    <w:basedOn w:val="712"/>
    <w:next w:val="712"/>
    <w:uiPriority w:val="0"/>
    <w:semiHidden/>
    <w:qFormat/>
    <w:pPr>
      <w:ind w:left="1050"/>
      <w:jc w:val="left"/>
    </w:pPr>
    <w:rPr>
      <w:rFonts w:ascii="Times New Roman" w:hAnsi="Times New Roman" w:eastAsia="宋体"/>
      <w:szCs w:val="21"/>
    </w:rPr>
  </w:style>
  <w:style w:type="paragraph" w:styleId="1127" w:customStyle="1">
    <w:name w:val="正文文本缩进 31"/>
    <w:basedOn w:val="712"/>
    <w:link w:val="1128"/>
    <w:uiPriority w:val="0"/>
    <w:qFormat/>
    <w:pPr>
      <w:ind w:left="645" w:firstLine="645"/>
    </w:pPr>
    <w:rPr>
      <w:rFonts w:ascii="Arial" w:hAnsi="Arial" w:eastAsia="仿宋_GB2312"/>
      <w:color w:val="ffff00"/>
      <w:sz w:val="32"/>
      <w:szCs w:val="32"/>
      <w:lang w:eastAsia="en-US"/>
    </w:rPr>
  </w:style>
  <w:style w:type="character" w:styleId="1128" w:customStyle="1">
    <w:name w:val="正文文本缩进 3 Char"/>
    <w:link w:val="1127"/>
    <w:uiPriority w:val="0"/>
    <w:qFormat/>
    <w:rPr>
      <w:rFonts w:ascii="Arial" w:hAnsi="Arial" w:eastAsia="仿宋_GB2312" w:cs="Times New Roman"/>
      <w:color w:val="ffff00"/>
      <w:sz w:val="32"/>
      <w:szCs w:val="32"/>
      <w:lang w:eastAsia="en-US"/>
    </w:rPr>
  </w:style>
  <w:style w:type="paragraph" w:styleId="1129" w:customStyle="1">
    <w:name w:val="图表目录1"/>
    <w:basedOn w:val="712"/>
    <w:next w:val="712"/>
    <w:uiPriority w:val="0"/>
    <w:semiHidden/>
    <w:qFormat/>
    <w:pPr>
      <w:ind w:left="840" w:hanging="420"/>
    </w:pPr>
    <w:rPr>
      <w:rFonts w:ascii="Times New Roman" w:hAnsi="Times New Roman" w:eastAsia="宋体"/>
      <w:szCs w:val="21"/>
    </w:rPr>
  </w:style>
  <w:style w:type="paragraph" w:styleId="1130" w:customStyle="1">
    <w:name w:val="目录 211"/>
    <w:basedOn w:val="712"/>
    <w:next w:val="712"/>
    <w:uiPriority w:val="0"/>
    <w:semiHidden/>
    <w:qFormat/>
    <w:pPr>
      <w:ind w:left="210"/>
      <w:jc w:val="left"/>
    </w:pPr>
    <w:rPr>
      <w:rFonts w:ascii="Times New Roman" w:hAnsi="Times New Roman" w:eastAsia="宋体"/>
      <w:smallCaps/>
      <w:szCs w:val="24"/>
    </w:rPr>
  </w:style>
  <w:style w:type="paragraph" w:styleId="1131" w:customStyle="1">
    <w:name w:val="目录 911"/>
    <w:basedOn w:val="712"/>
    <w:next w:val="712"/>
    <w:uiPriority w:val="0"/>
    <w:semiHidden/>
    <w:qFormat/>
    <w:pPr>
      <w:ind w:left="1680"/>
      <w:jc w:val="left"/>
    </w:pPr>
    <w:rPr>
      <w:rFonts w:ascii="Times New Roman" w:hAnsi="Times New Roman" w:eastAsia="宋体"/>
      <w:szCs w:val="21"/>
    </w:rPr>
  </w:style>
  <w:style w:type="paragraph" w:styleId="1132" w:customStyle="1">
    <w:name w:val="正文文本 21"/>
    <w:basedOn w:val="712"/>
    <w:link w:val="1133"/>
    <w:uiPriority w:val="0"/>
    <w:qFormat/>
    <w:pPr>
      <w:jc w:val="center"/>
      <w:widowControl/>
    </w:pPr>
    <w:rPr>
      <w:rFonts w:ascii="楷体_GB2312" w:hAnsi="Times New Roman" w:eastAsia="楷体_GB2312"/>
      <w:sz w:val="28"/>
      <w:szCs w:val="28"/>
      <w:lang w:eastAsia="en-US"/>
    </w:rPr>
  </w:style>
  <w:style w:type="character" w:styleId="1133" w:customStyle="1">
    <w:name w:val="正文文本 2 Char"/>
    <w:link w:val="1132"/>
    <w:uiPriority w:val="0"/>
    <w:qFormat/>
    <w:rPr>
      <w:rFonts w:ascii="楷体_GB2312" w:hAnsi="Times New Roman" w:eastAsia="楷体_GB2312" w:cs="Times New Roman"/>
      <w:sz w:val="28"/>
      <w:szCs w:val="28"/>
      <w:lang w:eastAsia="en-US"/>
    </w:rPr>
  </w:style>
  <w:style w:type="paragraph" w:styleId="1134" w:customStyle="1">
    <w:name w:val="普通(网站)1"/>
    <w:basedOn w:val="712"/>
    <w:uiPriority w:val="99"/>
    <w:qFormat/>
    <w:pPr>
      <w:jc w:val="left"/>
      <w:spacing w:before="100" w:beforeAutospacing="1" w:after="100" w:afterAutospacing="1"/>
      <w:widowControl/>
    </w:pPr>
    <w:rPr>
      <w:rFonts w:ascii="宋体" w:hAnsi="宋体" w:eastAsia="宋体" w:cs="宋体"/>
      <w:sz w:val="24"/>
      <w:szCs w:val="24"/>
    </w:rPr>
  </w:style>
  <w:style w:type="paragraph" w:styleId="1135" w:customStyle="1">
    <w:name w:val="索引 11"/>
    <w:basedOn w:val="712"/>
    <w:next w:val="712"/>
    <w:uiPriority w:val="0"/>
    <w:semiHidden/>
    <w:qFormat/>
    <w:pPr>
      <w:spacing w:line="240" w:lineRule="atLeast"/>
    </w:pPr>
    <w:rPr>
      <w:rFonts w:ascii="Times New Roman" w:hAnsi="Times New Roman" w:eastAsia="宋体"/>
      <w:b/>
      <w:bCs/>
      <w:szCs w:val="21"/>
    </w:rPr>
  </w:style>
  <w:style w:type="paragraph" w:styleId="1136" w:customStyle="1">
    <w:name w:val="批注主题1"/>
    <w:basedOn w:val="1098"/>
    <w:next w:val="1098"/>
    <w:link w:val="1137"/>
    <w:uiPriority w:val="0"/>
    <w:semiHidden/>
    <w:qFormat/>
    <w:rPr>
      <w:b/>
      <w:bCs/>
    </w:rPr>
  </w:style>
  <w:style w:type="character" w:styleId="1137" w:customStyle="1">
    <w:name w:val="批注主题 Char"/>
    <w:link w:val="1136"/>
    <w:uiPriority w:val="0"/>
    <w:semiHidden/>
    <w:qFormat/>
    <w:rPr>
      <w:rFonts w:ascii="Times New Roman" w:hAnsi="Times New Roman" w:eastAsia="宋体" w:cs="Times New Roman"/>
      <w:b/>
      <w:bCs/>
      <w:szCs w:val="21"/>
      <w:lang w:eastAsia="en-US"/>
    </w:rPr>
  </w:style>
  <w:style w:type="paragraph" w:styleId="1138" w:customStyle="1">
    <w:name w:val="正文首行缩进1"/>
    <w:basedOn w:val="712"/>
    <w:link w:val="1139"/>
    <w:uiPriority w:val="0"/>
    <w:qFormat/>
    <w:pPr>
      <w:ind w:firstLine="200"/>
      <w:spacing w:line="360" w:lineRule="auto"/>
    </w:pPr>
    <w:rPr>
      <w:rFonts w:ascii="仿宋_GB2312" w:hAnsi="Times New Roman" w:eastAsia="仿宋_GB2312"/>
      <w:sz w:val="30"/>
      <w:szCs w:val="30"/>
      <w:lang w:eastAsia="en-US"/>
    </w:rPr>
  </w:style>
  <w:style w:type="character" w:styleId="1139" w:customStyle="1">
    <w:name w:val="正文首行缩进 Char"/>
    <w:link w:val="1138"/>
    <w:uiPriority w:val="0"/>
    <w:qFormat/>
    <w:rPr>
      <w:rFonts w:ascii="仿宋_GB2312" w:hAnsi="Times New Roman" w:eastAsia="仿宋_GB2312" w:cs="Times New Roman"/>
      <w:sz w:val="30"/>
      <w:szCs w:val="30"/>
      <w:lang w:eastAsia="en-US"/>
    </w:rPr>
  </w:style>
  <w:style w:type="paragraph" w:styleId="1140" w:customStyle="1">
    <w:name w:val="正文首行缩进 21"/>
    <w:basedOn w:val="1104"/>
    <w:next w:val="712"/>
    <w:link w:val="1141"/>
    <w:uiPriority w:val="0"/>
    <w:qFormat/>
    <w:pPr>
      <w:ind w:firstLine="420"/>
      <w:spacing w:line="360" w:lineRule="auto"/>
    </w:pPr>
    <w:rPr>
      <w:rFonts w:ascii="宋体" w:hAnsi="宋体" w:eastAsia="宋体"/>
      <w:szCs w:val="20"/>
    </w:rPr>
  </w:style>
  <w:style w:type="character" w:styleId="1141" w:customStyle="1">
    <w:name w:val="正文首行缩进 2 Char"/>
    <w:link w:val="1140"/>
    <w:uiPriority w:val="0"/>
    <w:qFormat/>
    <w:rPr>
      <w:rFonts w:ascii="宋体" w:hAnsi="宋体" w:eastAsia="宋体" w:cs="Times New Roman"/>
      <w:sz w:val="32"/>
      <w:lang w:eastAsia="en-US"/>
    </w:rPr>
  </w:style>
  <w:style w:type="character" w:styleId="1142" w:customStyle="1">
    <w:name w:val="要点1"/>
    <w:uiPriority w:val="0"/>
    <w:qFormat/>
    <w:rPr>
      <w:b/>
      <w:bCs/>
    </w:rPr>
  </w:style>
  <w:style w:type="character" w:styleId="1143" w:customStyle="1">
    <w:name w:val="页码1"/>
    <w:uiPriority w:val="0"/>
    <w:qFormat/>
  </w:style>
  <w:style w:type="character" w:styleId="1144" w:customStyle="1">
    <w:name w:val="已访问的超链接1"/>
    <w:uiPriority w:val="0"/>
    <w:qFormat/>
    <w:rPr>
      <w:color w:val="800080"/>
      <w:u w:val="single"/>
    </w:rPr>
  </w:style>
  <w:style w:type="character" w:styleId="1145" w:customStyle="1">
    <w:name w:val="HTML 打字机1"/>
    <w:uiPriority w:val="99"/>
    <w:qFormat/>
    <w:rPr>
      <w:rFonts w:ascii="宋体" w:hAnsi="宋体" w:eastAsia="宋体" w:cs="宋体"/>
      <w:sz w:val="24"/>
      <w:szCs w:val="24"/>
    </w:rPr>
  </w:style>
  <w:style w:type="character" w:styleId="1146" w:customStyle="1">
    <w:name w:val="超链接1"/>
    <w:uiPriority w:val="0"/>
    <w:qFormat/>
    <w:rPr>
      <w:color w:val="0000ff"/>
      <w:u w:val="single"/>
    </w:rPr>
  </w:style>
  <w:style w:type="character" w:styleId="1147" w:customStyle="1">
    <w:name w:val="二级目录 Char"/>
    <w:link w:val="1148"/>
    <w:uiPriority w:val="0"/>
    <w:qFormat/>
    <w:rPr>
      <w:b/>
      <w:sz w:val="30"/>
      <w:szCs w:val="28"/>
    </w:rPr>
  </w:style>
  <w:style w:type="paragraph" w:styleId="1148" w:customStyle="1">
    <w:name w:val="二级目录"/>
    <w:next w:val="712"/>
    <w:link w:val="1147"/>
    <w:uiPriority w:val="0"/>
    <w:qFormat/>
    <w:pPr>
      <w:numPr>
        <w:ilvl w:val="0"/>
        <w:numId w:val="4"/>
      </w:numPr>
      <w:tabs>
        <w:tab w:val="left" w:pos="1145" w:leader="none"/>
      </w:tabs>
      <w:outlineLvl w:val="1"/>
    </w:pPr>
    <w:rPr>
      <w:rFonts w:ascii="Calibri" w:hAnsi="Calibri" w:eastAsia="Arial" w:cs="Times New Roman"/>
      <w:b/>
      <w:sz w:val="30"/>
      <w:szCs w:val="28"/>
      <w:lang w:val="en-US" w:eastAsia="zh-CN" w:bidi="ar-SA"/>
    </w:rPr>
  </w:style>
  <w:style w:type="paragraph" w:styleId="1149" w:customStyle="1">
    <w:name w:val="Body Text(ch)"/>
    <w:basedOn w:val="712"/>
    <w:next w:val="1102"/>
    <w:uiPriority w:val="0"/>
    <w:qFormat/>
    <w:pPr>
      <w:spacing w:after="120"/>
    </w:pPr>
    <w:rPr>
      <w:rFonts w:ascii="宋体" w:hAnsi="Arial" w:eastAsia="宋体"/>
      <w:bCs/>
      <w:iCs/>
      <w:szCs w:val="24"/>
    </w:rPr>
  </w:style>
  <w:style w:type="paragraph" w:styleId="1150" w:customStyle="1">
    <w:name w:val="Char"/>
    <w:basedOn w:val="712"/>
    <w:uiPriority w:val="0"/>
    <w:qFormat/>
    <w:pPr>
      <w:ind w:firstLine="200"/>
      <w:tabs>
        <w:tab w:val="left" w:pos="360" w:leader="none"/>
      </w:tabs>
    </w:pPr>
    <w:rPr>
      <w:rFonts w:ascii="Times New Roman" w:hAnsi="Times New Roman" w:eastAsia="宋体"/>
      <w:sz w:val="28"/>
      <w:szCs w:val="30"/>
    </w:rPr>
  </w:style>
  <w:style w:type="paragraph" w:styleId="1151" w:customStyle="1">
    <w:name w:val="普通正文"/>
    <w:basedOn w:val="712"/>
    <w:uiPriority w:val="0"/>
    <w:qFormat/>
    <w:pPr>
      <w:ind w:firstLine="480"/>
      <w:jc w:val="left"/>
      <w:spacing w:before="120" w:after="120" w:line="360" w:lineRule="auto"/>
    </w:pPr>
    <w:rPr>
      <w:rFonts w:ascii="Arial" w:hAnsi="Arial" w:eastAsia="宋体"/>
      <w:sz w:val="24"/>
      <w:szCs w:val="24"/>
    </w:rPr>
  </w:style>
  <w:style w:type="paragraph" w:styleId="1152" w:customStyle="1">
    <w:name w:val="table_lines"/>
    <w:basedOn w:val="712"/>
    <w:uiPriority w:val="0"/>
    <w:qFormat/>
    <w:pPr>
      <w:jc w:val="left"/>
      <w:widowControl/>
    </w:pPr>
    <w:rPr>
      <w:rFonts w:ascii="Times New Roman" w:hAnsi="Times New Roman" w:eastAsia="宋体"/>
      <w:sz w:val="20"/>
      <w:szCs w:val="20"/>
      <w:lang w:val="de-DE" w:eastAsia="de-DE"/>
    </w:rPr>
  </w:style>
  <w:style w:type="paragraph" w:styleId="115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54" w:customStyle="1">
    <w:name w:val="列出段落21"/>
    <w:basedOn w:val="712"/>
    <w:uiPriority w:val="99"/>
    <w:qFormat/>
    <w:pPr>
      <w:contextualSpacing/>
      <w:ind w:left="720"/>
      <w:jc w:val="left"/>
      <w:widowControl/>
    </w:pPr>
    <w:rPr>
      <w:rFonts w:eastAsia="宋体"/>
      <w:sz w:val="24"/>
      <w:szCs w:val="24"/>
      <w:lang w:eastAsia="en-US" w:bidi="en-US"/>
    </w:rPr>
  </w:style>
  <w:style w:type="paragraph" w:styleId="1155" w:customStyle="1">
    <w:name w:val="4"/>
    <w:basedOn w:val="712"/>
    <w:next w:val="1127"/>
    <w:uiPriority w:val="0"/>
    <w:qFormat/>
    <w:pPr>
      <w:ind w:firstLine="420"/>
      <w:spacing w:line="360" w:lineRule="auto"/>
    </w:pPr>
    <w:rPr>
      <w:rFonts w:ascii="Times New Roman" w:hAnsi="Times New Roman" w:eastAsia="宋体"/>
      <w:color w:val="ff0000"/>
      <w:sz w:val="24"/>
      <w:szCs w:val="24"/>
    </w:rPr>
  </w:style>
  <w:style w:type="paragraph" w:styleId="1156" w:customStyle="1">
    <w:name w:val="普通 (Web)"/>
    <w:basedOn w:val="712"/>
    <w:uiPriority w:val="0"/>
    <w:qFormat/>
    <w:pPr>
      <w:jc w:val="left"/>
      <w:spacing w:before="100" w:beforeAutospacing="1" w:after="100" w:afterAutospacing="1"/>
      <w:widowControl/>
    </w:pPr>
    <w:rPr>
      <w:rFonts w:ascii="宋体" w:hAnsi="宋体" w:eastAsia="宋体"/>
      <w:sz w:val="24"/>
      <w:szCs w:val="24"/>
    </w:rPr>
  </w:style>
  <w:style w:type="paragraph" w:styleId="1157" w:customStyle="1">
    <w:name w:val="Char Char Char Char Char Char Char Char Char Char"/>
    <w:basedOn w:val="712"/>
    <w:uiPriority w:val="0"/>
    <w:qFormat/>
    <w:pPr>
      <w:spacing w:line="360" w:lineRule="auto"/>
    </w:pPr>
    <w:rPr>
      <w:rFonts w:ascii="Times New Roman" w:hAnsi="Times New Roman" w:eastAsia="宋体"/>
      <w:sz w:val="24"/>
      <w:szCs w:val="20"/>
    </w:rPr>
  </w:style>
  <w:style w:type="paragraph" w:styleId="1158" w:customStyle="1">
    <w:name w:val="样式1"/>
    <w:basedOn w:val="712"/>
    <w:uiPriority w:val="0"/>
    <w:qFormat/>
    <w:pPr>
      <w:numPr>
        <w:ilvl w:val="0"/>
        <w:numId w:val="5"/>
      </w:numPr>
      <w:tabs>
        <w:tab w:val="left" w:pos="709" w:leader="none"/>
      </w:tabs>
    </w:pPr>
    <w:rPr>
      <w:rFonts w:ascii="宋体" w:hAnsi="宋体" w:eastAsia="宋体"/>
      <w:szCs w:val="21"/>
    </w:rPr>
  </w:style>
  <w:style w:type="paragraph" w:styleId="1159"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60" w:customStyle="1">
    <w:name w:val="标题3"/>
    <w:basedOn w:val="712"/>
    <w:next w:val="712"/>
    <w:uiPriority w:val="0"/>
    <w:qFormat/>
    <w:pPr>
      <w:ind w:firstLine="624"/>
      <w:spacing w:line="590" w:lineRule="atLeast"/>
    </w:pPr>
    <w:rPr>
      <w:rFonts w:ascii="方正黑体_GBK" w:hAnsi="Times New Roman" w:eastAsia="方正黑体_GBK"/>
      <w:sz w:val="32"/>
      <w:szCs w:val="32"/>
    </w:rPr>
  </w:style>
  <w:style w:type="paragraph" w:styleId="1161" w:customStyle="1">
    <w:name w:val="Char Char Char Char Char Char Char Char"/>
    <w:basedOn w:val="712"/>
    <w:uiPriority w:val="0"/>
    <w:qFormat/>
    <w:pPr>
      <w:jc w:val="left"/>
      <w:spacing w:after="160" w:line="240" w:lineRule="exact"/>
      <w:widowControl/>
    </w:pPr>
    <w:rPr>
      <w:rFonts w:ascii="Verdana" w:hAnsi="Verdana" w:eastAsia="宋体"/>
      <w:sz w:val="20"/>
      <w:szCs w:val="20"/>
      <w:lang w:eastAsia="en-US"/>
    </w:rPr>
  </w:style>
  <w:style w:type="paragraph" w:styleId="1162" w:customStyle="1">
    <w:name w:val="table_1stline"/>
    <w:basedOn w:val="712"/>
    <w:uiPriority w:val="0"/>
    <w:qFormat/>
    <w:pPr>
      <w:jc w:val="left"/>
      <w:spacing w:before="120"/>
      <w:widowControl/>
    </w:pPr>
    <w:rPr>
      <w:rFonts w:ascii="Times New Roman" w:hAnsi="Times New Roman" w:eastAsia="宋体"/>
      <w:bCs/>
      <w:sz w:val="20"/>
      <w:szCs w:val="20"/>
      <w:lang w:val="de-DE" w:eastAsia="de-DE"/>
    </w:rPr>
  </w:style>
  <w:style w:type="paragraph" w:styleId="1163" w:customStyle="1">
    <w:name w:val="标题1"/>
    <w:basedOn w:val="712"/>
    <w:next w:val="71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64" w:customStyle="1">
    <w:name w:val="修订2"/>
    <w:uiPriority w:val="99"/>
    <w:semiHidden/>
    <w:qFormat/>
    <w:rPr>
      <w:rFonts w:ascii="Times New Roman" w:hAnsi="Times New Roman" w:eastAsia="宋体" w:cs="Times New Roman"/>
      <w:sz w:val="21"/>
      <w:szCs w:val="21"/>
      <w:lang w:val="en-US" w:eastAsia="zh-CN" w:bidi="ar-SA"/>
    </w:rPr>
  </w:style>
  <w:style w:type="paragraph" w:styleId="116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66" w:customStyle="1">
    <w:name w:val="目录 111"/>
    <w:basedOn w:val="712"/>
    <w:next w:val="712"/>
    <w:uiPriority w:val="39"/>
    <w:unhideWhenUsed/>
    <w:qFormat/>
    <w:pPr>
      <w:jc w:val="left"/>
      <w:spacing w:after="100" w:line="259" w:lineRule="auto"/>
      <w:widowControl/>
    </w:pPr>
    <w:rPr>
      <w:rFonts w:eastAsia="宋体"/>
      <w:sz w:val="22"/>
    </w:rPr>
  </w:style>
  <w:style w:type="table" w:styleId="1167" w:customStyle="1">
    <w:name w:val="网格型5"/>
    <w:basedOn w:val="773"/>
    <w:uiPriority w:val="0"/>
    <w:qFormat/>
    <w:pPr>
      <w:jc w:val="both"/>
      <w:widowControl w:val="off"/>
    </w:pPr>
    <w:tblPr/>
  </w:style>
  <w:style w:type="paragraph" w:styleId="1168" w:customStyle="1">
    <w:name w:val="a0"/>
    <w:basedOn w:val="712"/>
    <w:uiPriority w:val="0"/>
    <w:qFormat/>
    <w:pPr>
      <w:jc w:val="left"/>
      <w:spacing w:before="100" w:beforeAutospacing="1" w:after="100" w:afterAutospacing="1"/>
      <w:widowControl/>
    </w:pPr>
    <w:rPr>
      <w:rFonts w:ascii="宋体" w:hAnsi="宋体" w:cs="宋体"/>
    </w:rPr>
  </w:style>
  <w:style w:type="character" w:styleId="1169" w:customStyle="1">
    <w:name w:val="NormalCharacter1"/>
    <w:uiPriority w:val="0"/>
    <w:qFormat/>
  </w:style>
  <w:style w:type="paragraph" w:styleId="1170" w:customStyle="1">
    <w:name w:val="_Style 1"/>
    <w:basedOn w:val="712"/>
    <w:uiPriority w:val="34"/>
    <w:qFormat/>
    <w:pPr>
      <w:ind w:firstLine="420"/>
    </w:pPr>
  </w:style>
  <w:style w:type="paragraph" w:styleId="1171" w:customStyle="1">
    <w:name w:val="UserStyle_0"/>
    <w:basedOn w:val="712"/>
    <w:uiPriority w:val="0"/>
    <w:qFormat/>
    <w:pPr>
      <w:ind w:left="420" w:firstLine="420"/>
      <w:spacing w:after="120"/>
      <w:widowControl/>
    </w:pPr>
    <w:rPr>
      <w:rFonts w:ascii="Times New Roman" w:hAnsi="Times New Roman"/>
      <w:szCs w:val="20"/>
    </w:rPr>
  </w:style>
  <w:style w:type="paragraph" w:styleId="1172" w:customStyle="1">
    <w:name w:val="UserStyle_87"/>
    <w:basedOn w:val="712"/>
    <w:uiPriority w:val="0"/>
    <w:qFormat/>
    <w:pPr>
      <w:ind w:firstLine="420"/>
      <w:widowControl/>
    </w:pPr>
  </w:style>
  <w:style w:type="character" w:styleId="1173" w:customStyle="1">
    <w:name w:val="UserStyle_88"/>
    <w:uiPriority w:val="0"/>
    <w:qFormat/>
  </w:style>
  <w:style w:type="paragraph" w:styleId="1174" w:customStyle="1">
    <w:name w:val="BodyText1I21"/>
    <w:basedOn w:val="712"/>
    <w:uiPriority w:val="0"/>
    <w:qFormat/>
    <w:pPr>
      <w:ind w:left="420" w:firstLine="420"/>
      <w:spacing w:after="120"/>
    </w:pPr>
    <w:rPr>
      <w:rFonts w:ascii="Times New Roman" w:hAnsi="Times New Roman"/>
      <w:szCs w:val="20"/>
    </w:rPr>
  </w:style>
  <w:style w:type="paragraph" w:styleId="1175" w:customStyle="1">
    <w:name w:val="Table Text"/>
    <w:basedOn w:val="712"/>
    <w:uiPriority w:val="0"/>
    <w:semiHidden/>
    <w:qFormat/>
    <w:rPr>
      <w:rFonts w:ascii="宋体" w:hAnsi="宋体" w:eastAsia="宋体" w:cs="宋体"/>
      <w:sz w:val="24"/>
      <w:szCs w:val="24"/>
      <w:lang w:eastAsia="en-US"/>
    </w:rPr>
  </w:style>
  <w:style w:type="character" w:styleId="1176" w:customStyle="1">
    <w:name w:val="font91"/>
    <w:basedOn w:val="722"/>
    <w:uiPriority w:val="0"/>
    <w:qFormat/>
    <w:rPr>
      <w:rFonts w:hint="eastAsia" w:ascii="宋体" w:hAnsi="宋体" w:eastAsia="宋体" w:cs="宋体"/>
      <w:color w:val="000000"/>
      <w:sz w:val="20"/>
      <w:szCs w:val="20"/>
      <w:u w:val="none"/>
    </w:rPr>
  </w:style>
  <w:style w:type="character" w:styleId="1177" w:customStyle="1">
    <w:name w:val="font41"/>
    <w:basedOn w:val="722"/>
    <w:uiPriority w:val="0"/>
    <w:qFormat/>
    <w:rPr>
      <w:rFonts w:hint="eastAsia" w:ascii="宋体" w:hAnsi="宋体" w:eastAsia="宋体" w:cs="宋体"/>
      <w:color w:val="000000"/>
      <w:sz w:val="20"/>
      <w:szCs w:val="20"/>
      <w:u w:val="none"/>
    </w:rPr>
  </w:style>
  <w:style w:type="character" w:styleId="1178" w:customStyle="1">
    <w:name w:val="font51"/>
    <w:basedOn w:val="722"/>
    <w:uiPriority w:val="0"/>
    <w:qFormat/>
    <w:rPr>
      <w:rFonts w:hint="default" w:ascii="仿宋_GB2312" w:eastAsia="仿宋_GB2312" w:cs="仿宋_GB2312"/>
      <w:color w:val="000000"/>
      <w:sz w:val="20"/>
      <w:szCs w:val="20"/>
      <w:u w:val="none"/>
    </w:rPr>
  </w:style>
  <w:style w:type="character" w:styleId="1179" w:customStyle="1">
    <w:name w:val="font141"/>
    <w:basedOn w:val="722"/>
    <w:uiPriority w:val="0"/>
    <w:qFormat/>
    <w:rPr>
      <w:rFonts w:hint="default" w:ascii="仿宋_GB2312" w:eastAsia="仿宋_GB2312" w:cs="仿宋_GB2312"/>
      <w:b/>
      <w:bCs/>
      <w:color w:val="000000"/>
      <w:sz w:val="20"/>
      <w:szCs w:val="20"/>
      <w:u w:val="none"/>
    </w:rPr>
  </w:style>
  <w:style w:type="character" w:styleId="1180" w:customStyle="1">
    <w:name w:val="font01"/>
    <w:basedOn w:val="722"/>
    <w:uiPriority w:val="0"/>
    <w:qFormat/>
    <w:rPr>
      <w:rFonts w:hint="eastAsia" w:ascii="宋体" w:hAnsi="宋体" w:eastAsia="宋体" w:cs="宋体"/>
      <w:color w:val="000000"/>
      <w:sz w:val="22"/>
      <w:szCs w:val="22"/>
      <w:u w:val="none"/>
    </w:rPr>
  </w:style>
  <w:style w:type="character" w:styleId="1181" w:customStyle="1">
    <w:name w:val="font61"/>
    <w:basedOn w:val="722"/>
    <w:uiPriority w:val="0"/>
    <w:qFormat/>
    <w:rPr>
      <w:rFonts w:hint="default" w:ascii="仿宋_GB2312" w:eastAsia="仿宋_GB2312" w:cs="仿宋_GB2312"/>
      <w:color w:val="000000"/>
      <w:sz w:val="20"/>
      <w:szCs w:val="20"/>
      <w:u w:val="none"/>
    </w:rPr>
  </w:style>
  <w:style w:type="character" w:styleId="1182" w:customStyle="1">
    <w:name w:val="font151"/>
    <w:basedOn w:val="722"/>
    <w:uiPriority w:val="0"/>
    <w:qFormat/>
    <w:rPr>
      <w:rFonts w:ascii="Arial" w:hAnsi="Arial" w:cs="Arial"/>
      <w:color w:val="000000"/>
      <w:sz w:val="20"/>
      <w:szCs w:val="20"/>
      <w:u w:val="none"/>
    </w:rPr>
  </w:style>
  <w:style w:type="character" w:styleId="1183" w:customStyle="1">
    <w:name w:val="font31"/>
    <w:basedOn w:val="722"/>
    <w:uiPriority w:val="0"/>
    <w:qFormat/>
    <w:rPr>
      <w:rFonts w:hint="eastAsia" w:ascii="仿宋" w:hAnsi="仿宋" w:eastAsia="仿宋" w:cs="仿宋"/>
      <w:color w:val="000000"/>
      <w:sz w:val="16"/>
      <w:szCs w:val="16"/>
      <w:u w:val="none"/>
    </w:rPr>
  </w:style>
  <w:style w:type="character" w:styleId="1184" w:customStyle="1">
    <w:name w:val="font101"/>
    <w:basedOn w:val="722"/>
    <w:uiPriority w:val="0"/>
    <w:qFormat/>
    <w:rPr>
      <w:rFonts w:hint="eastAsia" w:ascii="宋体" w:hAnsi="宋体" w:eastAsia="宋体" w:cs="宋体"/>
      <w:color w:val="000000"/>
      <w:sz w:val="18"/>
      <w:szCs w:val="18"/>
      <w:u w:val="none"/>
      <w:vertAlign w:val="subscript"/>
    </w:rPr>
  </w:style>
  <w:style w:type="character" w:styleId="1185" w:customStyle="1">
    <w:name w:val="font71"/>
    <w:basedOn w:val="722"/>
    <w:uiPriority w:val="0"/>
    <w:qFormat/>
    <w:rPr>
      <w:rFonts w:hint="eastAsia" w:ascii="宋体" w:hAnsi="宋体" w:eastAsia="宋体" w:cs="宋体"/>
      <w:color w:val="000000"/>
      <w:sz w:val="18"/>
      <w:szCs w:val="18"/>
      <w:u w:val="none"/>
    </w:rPr>
  </w:style>
  <w:style w:type="character" w:styleId="1186" w:customStyle="1">
    <w:name w:val="批注框文本 字符"/>
    <w:basedOn w:val="722"/>
    <w:link w:val="735"/>
    <w:uiPriority w:val="99"/>
    <w:semiHidden/>
    <w:qFormat/>
    <w:rPr>
      <w:rFonts w:ascii="Calibri" w:hAnsi="Calibri" w:eastAsia="Arial"/>
      <w:sz w:val="18"/>
      <w:szCs w:val="18"/>
    </w:rPr>
  </w:style>
  <w:style w:type="paragraph" w:styleId="1187" w:customStyle="1">
    <w:name w:val="缺省文本"/>
    <w:basedOn w:val="712"/>
    <w:uiPriority w:val="0"/>
    <w:qFormat/>
    <w:pPr>
      <w:jc w:val="left"/>
    </w:pPr>
    <w:rPr>
      <w:sz w:val="24"/>
    </w:rPr>
  </w:style>
  <w:style w:type="paragraph" w:styleId="1188" w:customStyle="1">
    <w:name w:val="reader-word-layer reader-word-s7-7"/>
    <w:basedOn w:val="712"/>
    <w:uiPriority w:val="0"/>
    <w:qFormat/>
    <w:pPr>
      <w:jc w:val="left"/>
      <w:spacing w:before="100" w:beforeAutospacing="1" w:after="100" w:afterAutospacing="1"/>
      <w:widowControl/>
    </w:pPr>
    <w:rPr>
      <w:rFonts w:ascii="宋体" w:hAnsi="宋体" w:cs="宋体"/>
      <w:sz w:val="24"/>
    </w:rPr>
  </w:style>
  <w:style w:type="paragraph" w:styleId="1189" w:customStyle="1">
    <w:name w:val="标题二、"/>
    <w:basedOn w:val="712"/>
    <w:uiPriority w:val="99"/>
    <w:qFormat/>
    <w:pPr>
      <w:ind w:firstLine="200"/>
      <w:spacing w:line="360" w:lineRule="auto"/>
      <w:outlineLvl w:val="2"/>
    </w:pPr>
    <w:rPr>
      <w:rFonts w:ascii="宋体" w:hAnsi="宋体"/>
      <w:b/>
      <w:szCs w:val="21"/>
    </w:rPr>
  </w:style>
  <w:style w:type="paragraph" w:styleId="1190" w:customStyle="1">
    <w:name w:val="表格"/>
    <w:uiPriority w:val="0"/>
    <w:qFormat/>
    <w:pPr>
      <w:jc w:val="center"/>
    </w:pPr>
    <w:rPr>
      <w:rFonts w:ascii="Times New Roman" w:hAnsi="Times New Roman" w:eastAsia="仿宋" w:cs="Times New Roman"/>
      <w:sz w:val="24"/>
      <w:szCs w:val="22"/>
      <w:lang w:val="en-US" w:eastAsia="zh-CN" w:bidi="ar-SA"/>
    </w:rPr>
  </w:style>
  <w:style w:type="paragraph" w:styleId="1191" w:customStyle="1">
    <w:name w:val="表格文字"/>
    <w:basedOn w:val="712"/>
    <w:uiPriority w:val="0"/>
    <w:qFormat/>
    <w:pPr>
      <w:spacing w:before="25" w:after="25"/>
    </w:pPr>
    <w:rPr>
      <w:bCs/>
      <w:spacing w:val="10"/>
    </w:rPr>
  </w:style>
  <w:style w:type="paragraph" w:styleId="1192" w:customStyle="1">
    <w:name w:val="BodyText1I"/>
    <w:basedOn w:val="1193"/>
    <w:uiPriority w:val="0"/>
    <w:qFormat/>
    <w:pPr>
      <w:ind w:firstLine="420"/>
      <w:spacing w:after="120" w:line="440" w:lineRule="exact"/>
    </w:pPr>
    <w:rPr>
      <w:rFonts w:ascii="宋体"/>
      <w:sz w:val="24"/>
      <w:szCs w:val="28"/>
    </w:rPr>
  </w:style>
  <w:style w:type="paragraph" w:styleId="1193" w:customStyle="1">
    <w:name w:val="BodyText"/>
    <w:basedOn w:val="712"/>
    <w:uiPriority w:val="0"/>
    <w:qFormat/>
    <w:rPr>
      <w:sz w:val="20"/>
    </w:rPr>
  </w:style>
  <w:style w:type="paragraph" w:styleId="1194" w:customStyle="1">
    <w:name w:val="Revision"/>
    <w:hidden/>
    <w:uiPriority w:val="99"/>
    <w:unhideWhenUsed/>
    <w:qFormat/>
    <w:rPr>
      <w:rFonts w:ascii="Calibri" w:hAnsi="Calibri" w:eastAsia="Arial" w:cs="Times New Roman"/>
      <w:sz w:val="21"/>
      <w:szCs w:val="22"/>
      <w:lang w:val="en-US" w:eastAsia="zh-CN" w:bidi="ar-SA"/>
    </w:rPr>
  </w:style>
  <w:style w:type="numbering" w:styleId="1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68396a6a-37f8-4dc0-8b4e-9e9b132a09db</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400523D6</paraID>
      <start>12</start>
      <end>15</end>
      <status>unmodified</status>
      <modifiedWord/>
      <trackRevisions>false</trackRevisions>
    </reviewItem>
    <reviewItem>
      <errorID>8146948b-76f9-4e74-be00-05276196ddb5</errorID>
      <errorWord>卫计委</errorWord>
      <group>L1_Knowledge</group>
      <groupName>知识性问题</groupName>
      <ability>L2_Knowledge</ability>
      <abilityName>其他知识</abilityName>
      <candidateList>
        <item>卫健委</item>
      </candidateList>
      <explain/>
      <paraID>400523D6</paraID>
      <start>16</start>
      <end>19</end>
      <status>unmodified</status>
      <modifiedWord/>
      <trackRevisions>false</trackRevisions>
    </reviewItem>
    <reviewItem>
      <errorID>6b3cee38-e34b-4112-872a-27f17727ac3c</errorID>
      <errorWord>做</errorWord>
      <group>L1_Word</group>
      <groupName>字词问题</groupName>
      <ability>L2_Typo</ability>
      <abilityName>字词错误</abilityName>
      <candidateList>
        <item>作</item>
      </candidateList>
      <explain>存在发音相同字词的误用。</explain>
      <paraID>401544F8</paraID>
      <start>70</start>
      <end>71</end>
      <status>unmodified</status>
      <modifiedWord/>
      <trackRevisions>false</trackRevisions>
    </reviewItem>
    <reviewItem>
      <errorID>2003335f-951b-4692-82b1-d0234fa69757</errorID>
      <errorWord>&lt;</errorWord>
      <group>L1_Format</group>
      <groupName>格式问题</groupName>
      <ability>L2_HalfPunc</ability>
      <abilityName>全半角检查</abilityName>
      <candidateList>
        <item>〈</item>
      </candidateList>
      <explain>文本全半角错误。</explain>
      <paraID>59E12DFD</paraID>
      <start>50</start>
      <end>51</end>
      <status>unmodified</status>
      <modifiedWord/>
      <trackRevisions>false</trackRevisions>
    </reviewItem>
    <reviewItem>
      <errorID>74e6793e-2838-4e44-85be-03bd4c98f865</errorID>
      <errorWord>&lt;</errorWord>
      <group>L1_Format</group>
      <groupName>格式问题</groupName>
      <ability>L2_HalfPunc</ability>
      <abilityName>全半角检查</abilityName>
      <candidateList>
        <item>〈</item>
      </candidateList>
      <explain>文本全半角错误。</explain>
      <paraID>2EAE28AA</paraID>
      <start>50</start>
      <end>51</end>
      <status>unmodified</status>
      <modifiedWord/>
      <trackRevisions>false</trackRevisions>
    </reviewItem>
    <reviewItem>
      <errorID>c970a6b6-a0b0-4136-ae3c-57d1d4551617</errorID>
      <errorWord>&lt;</errorWord>
      <group>L1_Format</group>
      <groupName>格式问题</groupName>
      <ability>L2_HalfPunc</ability>
      <abilityName>全半角检查</abilityName>
      <candidateList>
        <item>〈</item>
      </candidateList>
      <explain>文本全半角错误。</explain>
      <paraID>6A5ACEDB</paraID>
      <start>35</start>
      <end>36</end>
      <status>unmodified</status>
      <modifiedWord/>
      <trackRevisions>false</trackRevisions>
    </reviewItem>
    <reviewItem>
      <errorID>94976af0-0b95-4548-b708-65cb5d168e8e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46FC224E</paraID>
      <start>13</start>
      <end>14</end>
      <status>unmodified</status>
      <modifiedWord/>
      <trackRevisions>false</trackRevisions>
    </reviewItem>
    <reviewItem>
      <errorID>0d87a622-fc91-46bf-b043-7754e3cfd4e1</errorID>
      <errorWord>九</errorWord>
      <group>L1_Word</group>
      <groupName>字词问题</groupName>
      <ability>L2_Typo</ability>
      <abilityName>字词错误</abilityName>
      <candidateList>
        <item>九条</item>
      </candidateList>
      <explain/>
      <paraID>3EE0A228</paraID>
      <start>22</start>
      <end>23</end>
      <status>unmodified</status>
      <modifiedWord/>
      <trackRevisions>false</trackRevisions>
    </reviewItem>
    <reviewItem>
      <errorID>a3640bc9-18cc-4991-a2d0-89fdf103bd91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6482E222</paraID>
      <start>0</start>
      <end>2</end>
      <status>unmodified</status>
      <modifiedWord/>
      <trackRevisions>false</trackRevisions>
    </reviewItem>
    <reviewItem>
      <errorID>86764d36-c6fd-4c0a-9e1d-8633ddc555d9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45CED234</paraID>
      <start>2</start>
      <end>4</end>
      <status>unmodified</status>
      <modifiedWord/>
      <trackRevisions>false</trackRevisions>
    </reviewItem>
    <reviewItem>
      <errorID>5df1d8f2-e5c0-4bb8-a3dc-38a6f2e29b6c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68E0871D</paraID>
      <start>0</start>
      <end>2</end>
      <status>unmodified</status>
      <modifiedWord/>
      <trackRevisions>false</trackRevisions>
    </reviewItem>
    <reviewItem>
      <errorID>45e9941b-8301-4365-a6c9-f5b9831b7146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8AC6371</paraID>
      <start>0</start>
      <end>2</end>
      <status>unmodified</status>
      <modifiedWord/>
      <trackRevisions>false</trackRevisions>
    </reviewItem>
    <reviewItem>
      <errorID>d5f6f12b-ec7c-421a-a863-651408fda633</errorID>
      <errorWord>增强</errorWord>
      <group>L1_Grammar</group>
      <groupName>语法问题</groupName>
      <ability>L2_Grammar</ability>
      <abilityName>语法错误</abilityName>
      <candidateList>
        <item>提升</item>
      </candidateList>
      <explain>“增强～水平”搭配不当，建议修改为“提升～水平”。</explain>
      <paraID> 8AC6371</paraID>
      <start>45</start>
      <end>47</end>
      <status>unmodified</status>
      <modifiedWord/>
      <trackRevisions>false</trackRevisions>
    </reviewItem>
    <reviewItem>
      <errorID>57b0a12f-294c-463a-865e-d8ca8848cd17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586F9BD9</paraID>
      <start>0</start>
      <end>2</end>
      <status>unmodified</status>
      <modifiedWord/>
      <trackRevisions>false</trackRevisions>
    </reviewItem>
    <reviewItem>
      <errorID>00b82ef3-18b1-4fb1-a555-066a015c4262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4CBABDB5</paraID>
      <start>0</start>
      <end>2</end>
      <status>unmodified</status>
      <modifiedWord/>
      <trackRevisions>false</trackRevisions>
    </reviewItem>
    <reviewItem>
      <errorID>61f79585-205a-4859-9ec4-b26c67e7ca4d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330C957B</paraID>
      <start>0</start>
      <end>2</end>
      <status>unmodified</status>
      <modifiedWord/>
      <trackRevisions>false</trackRevisions>
    </reviewItem>
    <reviewItem>
      <errorID>134010d2-ac1a-4ef9-ac5a-b31821cdefaf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24100B5B</paraID>
      <start>0</start>
      <end>2</end>
      <status>unmodified</status>
      <modifiedWord/>
      <trackRevisions>false</trackRevisions>
    </reviewItem>
    <reviewItem>
      <errorID>6d21553f-4d47-479a-95f5-462e49c056a0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16905516</paraID>
      <start>0</start>
      <end>2</end>
      <status>unmodified</status>
      <modifiedWord/>
      <trackRevisions>false</trackRevisions>
    </reviewItem>
    <reviewItem>
      <errorID>783e633a-bbbc-450d-ba2e-c9a7873ab356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3A1CFB38</paraID>
      <start>0</start>
      <end>2</end>
      <status>unmodified</status>
      <modifiedWord/>
      <trackRevisions>false</trackRevisions>
    </reviewItem>
    <reviewItem>
      <errorID>1e34d438-6303-4f23-8f24-02978f049026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4DE5F1A</paraID>
      <start>0</start>
      <end>2</end>
      <status>unmodified</status>
      <modifiedWord/>
      <trackRevisions>false</trackRevisions>
    </reviewItem>
    <reviewItem>
      <errorID>63bc5ad5-1ee3-4353-aa8f-2f2e4bab7476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61F30E0F</paraID>
      <start>0</start>
      <end>2</end>
      <status>unmodified</status>
      <modifiedWord/>
      <trackRevisions>false</trackRevisions>
    </reviewItem>
    <reviewItem>
      <errorID>7211daa0-14ce-4846-b213-2a2f0d056102</errorID>
      <errorWord>监管权利</errorWord>
      <group>L1_Word</group>
      <groupName>字词问题</groupName>
      <ability>L2_Typo</ability>
      <abilityName>字词错误</abilityName>
      <candidateList>
        <item>监管权力</item>
      </candidateList>
      <explain/>
      <paraID>79842F65</paraID>
      <start>24</start>
      <end>28</end>
      <status>unmodified</status>
      <modifiedWord/>
      <trackRevisions>false</trackRevisions>
    </reviewItem>
    <reviewItem>
      <errorID>b9e65581-d752-4cec-9211-7413f2491bda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5F1B31B2</paraID>
      <start>0</start>
      <end>2</end>
      <status>unmodified</status>
      <modifiedWord/>
      <trackRevisions>false</trackRevisions>
    </reviewItem>
    <reviewItem>
      <errorID>8e4e12b7-b6bf-42b2-a1a3-d71f1abfc683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7D2DF042</paraID>
      <start>0</start>
      <end>2</end>
      <status>unmodified</status>
      <modifiedWord/>
      <trackRevisions>false</trackRevisions>
    </reviewItem>
    <reviewItem>
      <errorID>4be2076b-3c2a-49ed-86ff-f80ce33edbd3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66671E98</paraID>
      <start>0</start>
      <end>2</end>
      <status>unmodified</status>
      <modifiedWord/>
      <trackRevisions>false</trackRevisions>
    </reviewItem>
    <reviewItem>
      <errorID>0dcdc883-4088-4ce4-a408-256c582b2174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1D0D888F</paraID>
      <start>0</start>
      <end>2</end>
      <status>unmodified</status>
      <modifiedWord/>
      <trackRevisions>false</trackRevisions>
    </reviewItem>
    <reviewItem>
      <errorID>4aab5764-bef0-47aa-9bd6-1632b16c3611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2B3C9989</paraID>
      <start>0</start>
      <end>2</end>
      <status>unmodified</status>
      <modifiedWord/>
      <trackRevisions>false</trackRevisions>
    </reviewItem>
    <reviewItem>
      <errorID>db932ce6-6fa7-4926-91cc-dfcf2d95ec0b</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4EDAF077</paraID>
      <start>0</start>
      <end>2</end>
      <status>unmodified</status>
      <modifiedWord/>
      <trackRevisions>false</trackRevisions>
    </reviewItem>
    <reviewItem>
      <errorID>a0fd6e80-f062-4098-bcda-fd9e12fd8215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4047DAF3</paraID>
      <start>0</start>
      <end>2</end>
      <status>unmodified</status>
      <modifiedWord/>
      <trackRevisions>false</trackRevisions>
    </reviewItem>
    <reviewItem>
      <errorID>6b1741cc-3abd-4de7-b102-d682131e8ed3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1FA76E53</paraID>
      <start>0</start>
      <end>2</end>
      <status>unmodified</status>
      <modifiedWord/>
      <trackRevisions>false</trackRevisions>
    </reviewItem>
    <reviewItem>
      <errorID>e726dad5-fb77-428e-b26e-5b5449f9677f</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75403C04</paraID>
      <start>0</start>
      <end>2</end>
      <status>unmodified</status>
      <modifiedWord/>
      <trackRevisions>false</trackRevisions>
    </reviewItem>
    <reviewItem>
      <errorID>7e9a02e6-6eac-40b4-a1c5-6c69d63233b8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3473652D</paraID>
      <start>0</start>
      <end>2</end>
      <status>unmodified</status>
      <modifiedWord/>
      <trackRevisions>false</trackRevisions>
    </reviewItem>
    <reviewItem>
      <errorID>472700d4-d2ea-4de5-affb-41443a564384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49FD30AF</paraID>
      <start>0</start>
      <end>2</end>
      <status>unmodified</status>
      <modifiedWord/>
      <trackRevisions>false</trackRevisions>
    </reviewItem>
    <reviewItem>
      <errorID>40dededd-089a-4905-95a7-4c3306a4adbc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11419267</paraID>
      <start>0</start>
      <end>2</end>
      <status>unmodified</status>
      <modifiedWord/>
      <trackRevisions>false</trackRevisions>
    </reviewItem>
    <reviewItem>
      <errorID>2cce6377-4cec-44ff-b45e-9ec164a64d1d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1B9A3151</paraID>
      <start>0</start>
      <end>2</end>
      <status>unmodified</status>
      <modifiedWord/>
      <trackRevisions>false</trackRevisions>
    </reviewItem>
    <reviewItem>
      <errorID>0c88e9a8-2a90-456f-a101-87e47a21b298</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562B73D</paraID>
      <start>0</start>
      <end>3</end>
      <status>unmodified</status>
      <modifiedWord/>
      <trackRevisions>false</trackRevisions>
    </reviewItem>
    <reviewItem>
      <errorID>b518e26f-17c9-4fa7-ae2d-3b2956b110a9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371C4539</paraID>
      <start>0</start>
      <end>2</end>
      <status>unmodified</status>
      <modifiedWord/>
      <trackRevisions>false</trackRevisions>
    </reviewItem>
    <reviewItem>
      <errorID>0a48b4d9-f533-4e8d-92f7-7e333d0d4da6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52988009</paraID>
      <start>0</start>
      <end>2</end>
      <status>unmodified</status>
      <modifiedWord/>
      <trackRevisions>false</trackRevisions>
    </reviewItem>
    <reviewItem>
      <errorID>9f244a83-203b-48db-a72c-95cd3faa2d18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3F74BB6D</paraID>
      <start>0</start>
      <end>2</end>
      <status>unmodified</status>
      <modifiedWord/>
      <trackRevisions>false</trackRevisions>
    </reviewItem>
    <reviewItem>
      <errorID>6473486d-8f86-4f69-8a1e-53cc9d81fda3</errorID>
      <errorWord>需</errorWord>
      <group>L1_Word</group>
      <groupName>字词问题</groupName>
      <ability>L2_Typo</ability>
      <abilityName>字词错误</abilityName>
      <candidateList>
        <item>须</item>
      </candidateList>
      <explain>存在发音相同字词的误用。</explain>
      <paraID> 2485CD2</paraID>
      <start>7</start>
      <end>8</end>
      <status>unmodified</status>
      <modifiedWord/>
      <trackRevisions>false</trackRevisions>
    </reviewItem>
    <reviewItem>
      <errorID>6e53398f-6e2d-4df3-be1c-7f4298079687</errorID>
      <errorWord>需具备</errorWord>
      <group>L1_Word</group>
      <groupName>字词问题</groupName>
      <ability>L2_Typo</ability>
      <abilityName>字词错误</abilityName>
      <candidateList>
        <item>须具备</item>
      </candidateList>
      <explain/>
      <paraID>3E6E9FF5</paraID>
      <start>2</start>
      <end>5</end>
      <status>unmodified</status>
      <modifiedWord/>
      <trackRevisions>false</trackRevisions>
    </reviewItem>
    <reviewItem>
      <errorID>44697214-bc4f-46aa-91ab-bd6f53d9489e</errorID>
      <errorWord>需具备</errorWord>
      <group>L1_Word</group>
      <groupName>字词问题</groupName>
      <ability>L2_Typo</ability>
      <abilityName>字词错误</abilityName>
      <candidateList>
        <item>须具备</item>
      </candidateList>
      <explain/>
      <paraID>34FB54AB</paraID>
      <start>2</start>
      <end>5</end>
      <status>unmodified</status>
      <modifiedWord/>
      <trackRevisions>false</trackRevisions>
    </reviewItem>
    <reviewItem>
      <errorID>95cd041e-d467-4a48-9ff0-97f55ed6d99c</errorID>
      <errorWord>件</errorWord>
      <group>L1_Word</group>
      <groupName>字词问题</groupName>
      <ability>L2_Typo</ability>
      <abilityName>字词错误</abilityName>
      <candidateList>
        <item>件中</item>
      </candidateList>
      <explain/>
      <paraID> 1ACC97B</paraID>
      <start>101</start>
      <end>102</end>
      <status>unmodified</status>
      <modifiedWord/>
      <trackRevisions>false</trackRevisions>
    </reviewItem>
    <reviewItem>
      <errorID>6d9a3a4e-991b-418b-a598-c1888ab77a5a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203B5F68</paraID>
      <start>0</start>
      <end>2</end>
      <status>unmodified</status>
      <modifiedWord/>
      <trackRevisions>false</trackRevisions>
    </reviewItem>
    <reviewItem>
      <errorID>40c8ef4f-97dd-42e5-aeeb-4f69dd830309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7897A80C</paraID>
      <start>0</start>
      <end>2</end>
      <status>unmodified</status>
      <modifiedWord/>
      <trackRevisions>false</trackRevisions>
    </reviewItem>
    <reviewItem>
      <errorID>21924edc-4601-4c06-8d3a-a8686dbef3b6</errorID>
      <errorWord>详实</errorWord>
      <group>L1_Word</group>
      <groupName>字词问题</groupName>
      <ability>L2_Typo</ability>
      <abilityName>字词错误</abilityName>
      <candidateList>
        <item>翔实</item>
      </candidateList>
      <explain/>
      <paraID>1FA62CE8</paraID>
      <start>2</start>
      <end>4</end>
      <status>unmodified</status>
      <modifiedWord/>
      <trackRevisions>false</trackRevisions>
    </reviewItem>
    <reviewItem>
      <errorID>946aba2b-1a24-4b05-828a-5313fe54ba94</errorID>
      <errorWord>详实</errorWord>
      <group>L1_Word</group>
      <groupName>字词问题</groupName>
      <ability>L2_Typo</ability>
      <abilityName>字词错误</abilityName>
      <candidateList>
        <item>翔实</item>
      </candidateList>
      <explain/>
      <paraID>  8A340D</paraID>
      <start>2</start>
      <end>4</end>
      <status>unmodified</status>
      <modifiedWord/>
      <trackRevisions>false</trackRevisions>
    </reviewItem>
    <reviewItem>
      <errorID>ea769a64-ba4d-4a85-ab55-07d04065385d</errorID>
      <errorWord>详实</errorWord>
      <group>L1_Word</group>
      <groupName>字词问题</groupName>
      <ability>L2_Typo</ability>
      <abilityName>字词错误</abilityName>
      <candidateList>
        <item>翔实</item>
      </candidateList>
      <explain/>
      <paraID>5DAA0C7F</paraID>
      <start>2</start>
      <end>4</end>
      <status>unmodified</status>
      <modifiedWord/>
      <trackRevisions>false</trackRevisions>
    </reviewItem>
    <reviewItem>
      <errorID>3d1811d9-251e-4494-8752-f694767cba38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5B842E04</paraID>
      <start>0</start>
      <end>2</end>
      <status>unmodified</status>
      <modifiedWord/>
      <trackRevisions>false</trackRevisions>
    </reviewItem>
    <reviewItem>
      <errorID>44d9e5e4-2da2-405d-b76d-94e789fe737c</errorID>
      <errorWord>项</errorWord>
      <group>L1_Word</group>
      <groupName>字词问题</groupName>
      <ability>L2_Typo</ability>
      <abilityName>字词错误</abilityName>
      <candidateList>
        <item>项目</item>
      </candidateList>
      <explain>〈名〉事物分成的门类：服务～｜体育～｜建设～。</explain>
      <paraID>1ABCA9B3</paraID>
      <start>3</start>
      <end>4</end>
      <status>unmodified</status>
      <modifiedWord/>
      <trackRevisions>false</trackRevisions>
    </reviewItem>
    <reviewItem>
      <errorID>e234d91c-764c-4626-bbce-20eb95268d76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52C6F64B</paraID>
      <start>0</start>
      <end>2</end>
      <status>unmodified</status>
      <modifiedWord/>
      <trackRevisions>false</trackRevisions>
    </reviewItem>
    <reviewItem>
      <errorID>fe6c419b-d63a-40dd-8998-89a7e6e05ecd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20AA59F6</paraID>
      <start>0</start>
      <end>2</end>
      <status>unmodified</status>
      <modifiedWord/>
      <trackRevisions>false</trackRevisions>
    </reviewItem>
    <reviewItem>
      <errorID>41dbb6c9-f1e7-46d7-921b-cd941a54cc71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3A3F66A2</paraID>
      <start>0</start>
      <end>2</end>
      <status>unmodified</status>
      <modifiedWord/>
      <trackRevisions>false</trackRevisions>
    </reviewItem>
    <reviewItem>
      <errorID>90b2cf12-35d2-4038-a98a-5953a38284f9</errorID>
      <errorWord>详实</errorWord>
      <group>L1_Word</group>
      <groupName>字词问题</groupName>
      <ability>L2_Typo</ability>
      <abilityName>字词错误</abilityName>
      <candidateList>
        <item>翔实</item>
      </candidateList>
      <explain/>
      <paraID>2D511DAF</paraID>
      <start>2</start>
      <end>4</end>
      <status>unmodified</status>
      <modifiedWord/>
      <trackRevisions>false</trackRevisions>
    </reviewItem>
    <reviewItem>
      <errorID>4bc1db7d-a5e7-467e-919c-4e246f11ae0c</errorID>
      <errorWord>属</errorWord>
      <group>L1_Word</group>
      <groupName>字词问题</groupName>
      <ability>L2_Typo</ability>
      <abilityName>字词错误</abilityName>
      <candidateList>
        <item>属于</item>
      </candidateList>
      <explain/>
      <paraID>2F65AB71</paraID>
      <start>93</start>
      <end>94</end>
      <status>unmodified</status>
      <modifiedWord/>
      <trackRevisions>false</trackRevisions>
    </reviewItem>
    <reviewItem>
      <errorID>d377c9d6-cf2f-4a96-b4bf-3f07c426a9b0</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35AE49FE</paraID>
      <start>12</start>
      <end>15</end>
      <status>unmodified</status>
      <modifiedWord/>
      <trackRevisions>false</trackRevisions>
    </reviewItem>
    <reviewItem>
      <errorID>efb04c65-b07f-4cef-a005-dd3da74fa6a1</errorID>
      <errorWord>卫计委</errorWord>
      <group>L1_Knowledge</group>
      <groupName>知识性问题</groupName>
      <ability>L2_Knowledge</ability>
      <abilityName>其他知识</abilityName>
      <candidateList>
        <item>卫健委</item>
      </candidateList>
      <explain/>
      <paraID>35AE49FE</paraID>
      <start>16</start>
      <end>19</end>
      <status>unmodified</status>
      <modifiedWord/>
      <trackRevisions>false</trackRevisions>
    </reviewItem>
    <reviewItem>
      <errorID>a3413de1-a803-4fce-a820-2049629d47a6</errorID>
      <errorWord>不须</errorWord>
      <group>L1_Word</group>
      <groupName>字词问题</groupName>
      <ability>L2_Typo</ability>
      <abilityName>字词错误</abilityName>
      <candidateList>
        <item>无需</item>
      </candidateList>
      <explain>同“无须”。</explain>
      <paraID>56429A15</paraID>
      <start>43</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92FDECC-4F3A-4254-9FCD-C43C78BD279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7</cp:revision>
  <dcterms:created xsi:type="dcterms:W3CDTF">2026-03-11T05:54:00Z</dcterms:created>
  <dcterms:modified xsi:type="dcterms:W3CDTF">2026-05-12T06:49:52Z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2052-12.1.0.25225</vt:lpwstr>
  </property>
  <property fmtid="{D5CDD505-2E9C-101B-9397-08002B2CF9AE}" pid="4" name="ICV">
    <vt:lpwstr>2BC4C140896347C19CB7D41E2414AF55_13</vt:lpwstr>
  </property>
</Properties>
</file>